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06" w:type="dxa"/>
        <w:tblLayout w:type="fixed"/>
        <w:tblLook w:val="0000" w:firstRow="0" w:lastRow="0" w:firstColumn="0" w:lastColumn="0" w:noHBand="0" w:noVBand="0"/>
      </w:tblPr>
      <w:tblGrid>
        <w:gridCol w:w="5211"/>
        <w:gridCol w:w="4395"/>
      </w:tblGrid>
      <w:tr w:rsidR="00B74193" w:rsidRPr="005C3E39" w14:paraId="0A040D5C" w14:textId="77777777" w:rsidTr="00E94324">
        <w:trPr>
          <w:trHeight w:val="3534"/>
        </w:trPr>
        <w:tc>
          <w:tcPr>
            <w:tcW w:w="5211" w:type="dxa"/>
            <w:shd w:val="clear" w:color="auto" w:fill="auto"/>
          </w:tcPr>
          <w:p w14:paraId="1AC4B8F7" w14:textId="77777777" w:rsidR="00B74193" w:rsidRPr="005C3E39" w:rsidRDefault="00B74193" w:rsidP="00B74193">
            <w:pPr>
              <w:framePr w:hSpace="180" w:wrap="auto" w:vAnchor="page" w:hAnchor="margin" w:x="358" w:y="905"/>
              <w:ind w:left="257" w:hanging="257"/>
              <w:rPr>
                <w:szCs w:val="24"/>
              </w:rPr>
            </w:pPr>
            <w:r w:rsidRPr="00E94324">
              <w:rPr>
                <w:szCs w:val="24"/>
              </w:rPr>
              <w:t xml:space="preserve">    </w:t>
            </w:r>
            <w:r w:rsidRPr="005C3E39">
              <w:rPr>
                <w:szCs w:val="24"/>
              </w:rPr>
              <w:t>СОГЛАСОВАНО</w:t>
            </w:r>
          </w:p>
          <w:p w14:paraId="07F8935E" w14:textId="77777777" w:rsidR="00B74193" w:rsidRPr="005C3E39" w:rsidRDefault="00B74193" w:rsidP="00B74193">
            <w:pPr>
              <w:framePr w:hSpace="180" w:wrap="auto" w:vAnchor="page" w:hAnchor="margin" w:x="358" w:y="905"/>
              <w:ind w:left="257"/>
              <w:rPr>
                <w:szCs w:val="24"/>
              </w:rPr>
            </w:pPr>
          </w:p>
          <w:p w14:paraId="663A3EBF" w14:textId="77777777" w:rsidR="00B74193" w:rsidRPr="005C3E39" w:rsidRDefault="00B74193" w:rsidP="00B74193">
            <w:pPr>
              <w:framePr w:hSpace="180" w:wrap="auto" w:vAnchor="page" w:hAnchor="margin" w:x="358" w:y="905"/>
              <w:rPr>
                <w:szCs w:val="24"/>
              </w:rPr>
            </w:pPr>
            <w:r w:rsidRPr="005C3E39">
              <w:rPr>
                <w:szCs w:val="24"/>
              </w:rPr>
              <w:t>Генеральны</w:t>
            </w:r>
            <w:r>
              <w:rPr>
                <w:szCs w:val="24"/>
              </w:rPr>
              <w:t>м</w:t>
            </w:r>
            <w:r w:rsidRPr="005C3E39">
              <w:rPr>
                <w:szCs w:val="24"/>
              </w:rPr>
              <w:t xml:space="preserve"> директор</w:t>
            </w:r>
            <w:r>
              <w:rPr>
                <w:szCs w:val="24"/>
              </w:rPr>
              <w:t>ом</w:t>
            </w:r>
          </w:p>
          <w:p w14:paraId="6386136B" w14:textId="77777777" w:rsidR="00B74193" w:rsidRPr="005C3E39" w:rsidRDefault="00B74193" w:rsidP="00B74193">
            <w:pPr>
              <w:framePr w:hSpace="180" w:wrap="auto" w:vAnchor="page" w:hAnchor="margin" w:x="358" w:y="905"/>
              <w:rPr>
                <w:szCs w:val="24"/>
              </w:rPr>
            </w:pPr>
            <w:r w:rsidRPr="005C3E39">
              <w:rPr>
                <w:szCs w:val="24"/>
              </w:rPr>
              <w:t>АО «ДК РЕГИОН»</w:t>
            </w:r>
            <w:r>
              <w:rPr>
                <w:szCs w:val="24"/>
              </w:rPr>
              <w:t xml:space="preserve"> </w:t>
            </w:r>
            <w:r w:rsidRPr="005C3E39">
              <w:rPr>
                <w:szCs w:val="24"/>
              </w:rPr>
              <w:t xml:space="preserve"> А.А.Зайцев</w:t>
            </w:r>
            <w:r>
              <w:rPr>
                <w:szCs w:val="24"/>
              </w:rPr>
              <w:t>ой</w:t>
            </w:r>
            <w:r w:rsidRPr="005C3E39">
              <w:rPr>
                <w:szCs w:val="24"/>
              </w:rPr>
              <w:t xml:space="preserve">  </w:t>
            </w:r>
          </w:p>
          <w:p w14:paraId="29A3D2EE" w14:textId="77777777" w:rsidR="00B74193" w:rsidRPr="005C3E39" w:rsidRDefault="00B74193" w:rsidP="00B74193">
            <w:pPr>
              <w:framePr w:hSpace="180" w:wrap="auto" w:vAnchor="page" w:hAnchor="margin" w:x="358" w:y="905"/>
              <w:ind w:left="257"/>
              <w:rPr>
                <w:szCs w:val="24"/>
              </w:rPr>
            </w:pPr>
          </w:p>
          <w:p w14:paraId="0CDFACE3" w14:textId="77777777" w:rsidR="00B74193" w:rsidRPr="005C3E39" w:rsidRDefault="00B74193" w:rsidP="00B74193">
            <w:pPr>
              <w:framePr w:hSpace="180" w:wrap="auto" w:vAnchor="page" w:hAnchor="margin" w:x="358" w:y="905"/>
              <w:rPr>
                <w:szCs w:val="24"/>
              </w:rPr>
            </w:pPr>
          </w:p>
          <w:p w14:paraId="743A3EAE" w14:textId="7FB79C3A" w:rsidR="00B74193" w:rsidRPr="005C3E39" w:rsidRDefault="00B74193" w:rsidP="009F0476">
            <w:pPr>
              <w:framePr w:hSpace="180" w:wrap="auto" w:vAnchor="page" w:hAnchor="margin" w:x="358" w:y="905"/>
              <w:rPr>
                <w:sz w:val="28"/>
                <w:szCs w:val="28"/>
              </w:rPr>
            </w:pPr>
            <w:r w:rsidRPr="005C3E39">
              <w:rPr>
                <w:szCs w:val="24"/>
              </w:rPr>
              <w:t>«</w:t>
            </w:r>
            <w:r w:rsidR="00EC1EE7">
              <w:rPr>
                <w:szCs w:val="24"/>
              </w:rPr>
              <w:t>04</w:t>
            </w:r>
            <w:r w:rsidRPr="005C3E39">
              <w:rPr>
                <w:szCs w:val="24"/>
              </w:rPr>
              <w:t xml:space="preserve">» </w:t>
            </w:r>
            <w:r w:rsidR="009F0476">
              <w:rPr>
                <w:szCs w:val="24"/>
              </w:rPr>
              <w:t>сентября</w:t>
            </w:r>
            <w:r w:rsidR="009F0476" w:rsidRPr="005C3E39">
              <w:rPr>
                <w:szCs w:val="24"/>
              </w:rPr>
              <w:t xml:space="preserve"> </w:t>
            </w:r>
            <w:r w:rsidRPr="005C3E39">
              <w:rPr>
                <w:szCs w:val="24"/>
              </w:rPr>
              <w:t>202</w:t>
            </w:r>
            <w:r>
              <w:rPr>
                <w:szCs w:val="24"/>
              </w:rPr>
              <w:t>6</w:t>
            </w:r>
            <w:r w:rsidRPr="005C3E39">
              <w:rPr>
                <w:szCs w:val="24"/>
              </w:rPr>
              <w:t xml:space="preserve"> г.</w:t>
            </w:r>
          </w:p>
        </w:tc>
        <w:tc>
          <w:tcPr>
            <w:tcW w:w="4395" w:type="dxa"/>
            <w:shd w:val="clear" w:color="auto" w:fill="auto"/>
          </w:tcPr>
          <w:p w14:paraId="03A2E972" w14:textId="77777777" w:rsidR="00B74193" w:rsidRDefault="00B74193" w:rsidP="00B74193">
            <w:pPr>
              <w:framePr w:hSpace="180" w:wrap="auto" w:vAnchor="page" w:hAnchor="margin" w:x="358" w:y="905"/>
              <w:rPr>
                <w:szCs w:val="24"/>
              </w:rPr>
            </w:pPr>
            <w:r w:rsidRPr="005C3E39">
              <w:rPr>
                <w:szCs w:val="24"/>
              </w:rPr>
              <w:t xml:space="preserve">УТВЕРЖДЕНО </w:t>
            </w:r>
            <w:r>
              <w:rPr>
                <w:szCs w:val="24"/>
              </w:rPr>
              <w:t xml:space="preserve">Приказом </w:t>
            </w:r>
            <w:r w:rsidRPr="005C3E39">
              <w:rPr>
                <w:szCs w:val="24"/>
              </w:rPr>
              <w:t xml:space="preserve"> </w:t>
            </w:r>
          </w:p>
          <w:p w14:paraId="1BE27B9B" w14:textId="77777777" w:rsidR="00B74193" w:rsidRPr="005C3E39" w:rsidRDefault="00B74193" w:rsidP="00B74193">
            <w:pPr>
              <w:framePr w:hSpace="180" w:wrap="auto" w:vAnchor="page" w:hAnchor="margin" w:x="358" w:y="905"/>
              <w:rPr>
                <w:szCs w:val="24"/>
              </w:rPr>
            </w:pPr>
            <w:r w:rsidRPr="005C3E39">
              <w:rPr>
                <w:szCs w:val="24"/>
              </w:rPr>
              <w:t>Генеральн</w:t>
            </w:r>
            <w:r>
              <w:rPr>
                <w:szCs w:val="24"/>
              </w:rPr>
              <w:t>ого</w:t>
            </w:r>
            <w:r w:rsidRPr="005C3E39">
              <w:rPr>
                <w:szCs w:val="24"/>
              </w:rPr>
              <w:t xml:space="preserve">  директор</w:t>
            </w:r>
            <w:r>
              <w:rPr>
                <w:szCs w:val="24"/>
              </w:rPr>
              <w:t>а</w:t>
            </w:r>
            <w:r w:rsidRPr="005C3E39">
              <w:rPr>
                <w:szCs w:val="24"/>
              </w:rPr>
              <w:t xml:space="preserve"> </w:t>
            </w:r>
          </w:p>
          <w:p w14:paraId="5AAC9DD5" w14:textId="77777777" w:rsidR="00B74193" w:rsidRDefault="00B74193" w:rsidP="00B74193">
            <w:pPr>
              <w:framePr w:hSpace="180" w:wrap="auto" w:vAnchor="page" w:hAnchor="margin" w:x="358" w:y="905"/>
              <w:rPr>
                <w:szCs w:val="24"/>
              </w:rPr>
            </w:pPr>
            <w:r w:rsidRPr="007305E0">
              <w:rPr>
                <w:szCs w:val="24"/>
              </w:rPr>
              <w:t xml:space="preserve">АО «РЕГИОН ЭсМ»  </w:t>
            </w:r>
          </w:p>
          <w:p w14:paraId="2B2FDAE2" w14:textId="77777777" w:rsidR="00B74193" w:rsidRPr="007305E0" w:rsidRDefault="00B74193" w:rsidP="00B74193">
            <w:pPr>
              <w:framePr w:hSpace="180" w:wrap="auto" w:vAnchor="page" w:hAnchor="margin" w:x="358" w:y="905"/>
              <w:rPr>
                <w:szCs w:val="24"/>
              </w:rPr>
            </w:pPr>
            <w:r w:rsidRPr="007305E0">
              <w:rPr>
                <w:szCs w:val="24"/>
              </w:rPr>
              <w:t>Е.А.Зайцевой</w:t>
            </w:r>
          </w:p>
          <w:p w14:paraId="65ECD628" w14:textId="3494C395" w:rsidR="00B74193" w:rsidRDefault="00B74193" w:rsidP="00B74193">
            <w:pPr>
              <w:framePr w:hSpace="180" w:wrap="auto" w:vAnchor="page" w:hAnchor="margin" w:x="358" w:y="905"/>
              <w:rPr>
                <w:szCs w:val="24"/>
              </w:rPr>
            </w:pPr>
            <w:r w:rsidRPr="007305E0">
              <w:rPr>
                <w:szCs w:val="24"/>
              </w:rPr>
              <w:t xml:space="preserve">№ </w:t>
            </w:r>
            <w:r w:rsidR="00EC1EE7" w:rsidRPr="009D2F47">
              <w:rPr>
                <w:color w:val="FF0000"/>
              </w:rPr>
              <w:t xml:space="preserve"> </w:t>
            </w:r>
            <w:r w:rsidR="00EC1EE7" w:rsidRPr="008363C2">
              <w:t>ЭМ/2026/0</w:t>
            </w:r>
            <w:r w:rsidR="00EC1EE7">
              <w:t>9</w:t>
            </w:r>
            <w:r w:rsidR="00EC1EE7" w:rsidRPr="008363C2">
              <w:t>/</w:t>
            </w:r>
            <w:r w:rsidR="00EC1EE7">
              <w:t>04</w:t>
            </w:r>
            <w:r w:rsidR="00EC1EE7" w:rsidRPr="008363C2">
              <w:t>-1</w:t>
            </w:r>
            <w:r w:rsidR="00EC1EE7">
              <w:rPr>
                <w:szCs w:val="24"/>
              </w:rPr>
              <w:t xml:space="preserve"> </w:t>
            </w:r>
            <w:r w:rsidRPr="007305E0">
              <w:rPr>
                <w:szCs w:val="24"/>
              </w:rPr>
              <w:t xml:space="preserve">от </w:t>
            </w:r>
            <w:r w:rsidR="00EC1EE7">
              <w:rPr>
                <w:szCs w:val="24"/>
              </w:rPr>
              <w:t>04.09.</w:t>
            </w:r>
            <w:r w:rsidRPr="007305E0">
              <w:rPr>
                <w:szCs w:val="24"/>
              </w:rPr>
              <w:t>2026г</w:t>
            </w:r>
          </w:p>
          <w:p w14:paraId="1D3DB06D" w14:textId="77777777" w:rsidR="002B470C" w:rsidRDefault="002B470C" w:rsidP="009F0476">
            <w:pPr>
              <w:framePr w:hSpace="180" w:wrap="auto" w:vAnchor="page" w:hAnchor="margin" w:x="358" w:y="905"/>
              <w:tabs>
                <w:tab w:val="left" w:pos="2722"/>
              </w:tabs>
              <w:rPr>
                <w:szCs w:val="24"/>
              </w:rPr>
            </w:pPr>
          </w:p>
          <w:p w14:paraId="4EE032A7" w14:textId="039C4632" w:rsidR="00B74193" w:rsidRPr="005C3E39" w:rsidRDefault="00B74193" w:rsidP="009F0476">
            <w:pPr>
              <w:framePr w:hSpace="180" w:wrap="auto" w:vAnchor="page" w:hAnchor="margin" w:x="358" w:y="905"/>
              <w:tabs>
                <w:tab w:val="left" w:pos="2722"/>
              </w:tabs>
              <w:rPr>
                <w:szCs w:val="24"/>
              </w:rPr>
            </w:pPr>
            <w:bookmarkStart w:id="0" w:name="_GoBack"/>
            <w:bookmarkEnd w:id="0"/>
            <w:r w:rsidRPr="005C3E39">
              <w:rPr>
                <w:szCs w:val="24"/>
              </w:rPr>
              <w:t>«</w:t>
            </w:r>
            <w:r w:rsidR="00EC1EE7">
              <w:rPr>
                <w:szCs w:val="24"/>
              </w:rPr>
              <w:t>04</w:t>
            </w:r>
            <w:r w:rsidRPr="005C3E39">
              <w:rPr>
                <w:szCs w:val="24"/>
              </w:rPr>
              <w:t xml:space="preserve">» </w:t>
            </w:r>
            <w:r w:rsidR="009F0476">
              <w:rPr>
                <w:szCs w:val="24"/>
              </w:rPr>
              <w:t>сентября 2</w:t>
            </w:r>
            <w:r w:rsidRPr="005C3E39">
              <w:rPr>
                <w:szCs w:val="24"/>
              </w:rPr>
              <w:t>02</w:t>
            </w:r>
            <w:r>
              <w:rPr>
                <w:szCs w:val="24"/>
              </w:rPr>
              <w:t>6</w:t>
            </w:r>
            <w:r w:rsidRPr="005C3E39">
              <w:rPr>
                <w:szCs w:val="24"/>
              </w:rPr>
              <w:t xml:space="preserve"> г</w:t>
            </w:r>
            <w:r w:rsidRPr="005C3E39">
              <w:rPr>
                <w:szCs w:val="24"/>
              </w:rPr>
              <w:tab/>
            </w:r>
          </w:p>
        </w:tc>
      </w:tr>
    </w:tbl>
    <w:p w14:paraId="588129FC" w14:textId="77777777" w:rsidR="00484282" w:rsidRPr="005C3E39" w:rsidRDefault="00484282" w:rsidP="0072342E">
      <w:pPr>
        <w:ind w:left="360"/>
        <w:rPr>
          <w:b/>
          <w:sz w:val="28"/>
          <w:szCs w:val="28"/>
        </w:rPr>
      </w:pPr>
    </w:p>
    <w:p w14:paraId="6E347EC9" w14:textId="77777777" w:rsidR="00484282" w:rsidRPr="005C3E39" w:rsidRDefault="00484282" w:rsidP="0072342E">
      <w:pPr>
        <w:ind w:left="360"/>
        <w:rPr>
          <w:sz w:val="28"/>
          <w:szCs w:val="28"/>
        </w:rPr>
      </w:pPr>
    </w:p>
    <w:p w14:paraId="6EF0E7D8" w14:textId="77777777" w:rsidR="00BB16E8" w:rsidRPr="005C3E39" w:rsidRDefault="00BB16E8" w:rsidP="0072342E">
      <w:pPr>
        <w:ind w:left="360"/>
        <w:rPr>
          <w:sz w:val="28"/>
          <w:szCs w:val="28"/>
        </w:rPr>
      </w:pPr>
    </w:p>
    <w:p w14:paraId="2AFB2901" w14:textId="77777777" w:rsidR="00906E53" w:rsidRPr="005C3E39" w:rsidRDefault="00906E53" w:rsidP="00906E53">
      <w:pPr>
        <w:ind w:left="360"/>
        <w:rPr>
          <w:sz w:val="28"/>
          <w:szCs w:val="28"/>
        </w:rPr>
      </w:pPr>
    </w:p>
    <w:p w14:paraId="3E73649D" w14:textId="0CDEC5E3" w:rsidR="00603AB0" w:rsidRDefault="00603AB0" w:rsidP="00F04A45">
      <w:pPr>
        <w:ind w:left="360"/>
        <w:rPr>
          <w:b/>
          <w:szCs w:val="24"/>
        </w:rPr>
      </w:pPr>
    </w:p>
    <w:p w14:paraId="595A4AE3" w14:textId="77F7D3DB" w:rsidR="008A09A2" w:rsidRDefault="008A09A2" w:rsidP="00F04A45">
      <w:pPr>
        <w:ind w:left="360"/>
        <w:rPr>
          <w:sz w:val="28"/>
          <w:szCs w:val="28"/>
        </w:rPr>
      </w:pPr>
    </w:p>
    <w:p w14:paraId="79878040" w14:textId="5E5015A7" w:rsidR="008A09A2" w:rsidRDefault="008A09A2" w:rsidP="00F04A45">
      <w:pPr>
        <w:ind w:left="360"/>
        <w:rPr>
          <w:sz w:val="28"/>
          <w:szCs w:val="28"/>
        </w:rPr>
      </w:pPr>
    </w:p>
    <w:p w14:paraId="415B91FE" w14:textId="77777777" w:rsidR="008A09A2" w:rsidRPr="005C3E39" w:rsidRDefault="008A09A2" w:rsidP="00F04A45">
      <w:pPr>
        <w:ind w:left="360"/>
        <w:rPr>
          <w:sz w:val="28"/>
          <w:szCs w:val="28"/>
        </w:rPr>
      </w:pPr>
    </w:p>
    <w:p w14:paraId="6BE7B120" w14:textId="77777777" w:rsidR="00603AB0" w:rsidRPr="005C3E39" w:rsidRDefault="00603AB0" w:rsidP="00F04A45">
      <w:pPr>
        <w:ind w:left="360"/>
        <w:rPr>
          <w:sz w:val="28"/>
          <w:szCs w:val="28"/>
        </w:rPr>
      </w:pPr>
    </w:p>
    <w:p w14:paraId="32830D84" w14:textId="77777777" w:rsidR="00603AB0" w:rsidRPr="005C3E39" w:rsidRDefault="00603AB0" w:rsidP="00F04A45">
      <w:pPr>
        <w:ind w:left="360"/>
        <w:rPr>
          <w:sz w:val="28"/>
          <w:szCs w:val="28"/>
        </w:rPr>
      </w:pPr>
    </w:p>
    <w:p w14:paraId="7189F977" w14:textId="3B6AC36D" w:rsidR="008C0A68" w:rsidRPr="00664B66" w:rsidRDefault="008C0A68" w:rsidP="008C0A68">
      <w:pPr>
        <w:ind w:left="360"/>
        <w:jc w:val="center"/>
        <w:rPr>
          <w:b/>
          <w:szCs w:val="24"/>
        </w:rPr>
      </w:pPr>
      <w:r w:rsidRPr="00664B66">
        <w:rPr>
          <w:b/>
          <w:szCs w:val="24"/>
        </w:rPr>
        <w:t xml:space="preserve">Изменения </w:t>
      </w:r>
      <w:r>
        <w:rPr>
          <w:b/>
          <w:szCs w:val="24"/>
        </w:rPr>
        <w:t xml:space="preserve">и дополнения </w:t>
      </w:r>
      <w:r w:rsidRPr="00917D36">
        <w:rPr>
          <w:b/>
          <w:szCs w:val="24"/>
        </w:rPr>
        <w:t>№</w:t>
      </w:r>
      <w:r>
        <w:rPr>
          <w:b/>
          <w:szCs w:val="24"/>
        </w:rPr>
        <w:t xml:space="preserve"> </w:t>
      </w:r>
      <w:r w:rsidR="001C21A1">
        <w:rPr>
          <w:b/>
          <w:szCs w:val="24"/>
        </w:rPr>
        <w:t>10</w:t>
      </w:r>
      <w:r w:rsidRPr="00664B66">
        <w:rPr>
          <w:b/>
          <w:szCs w:val="24"/>
        </w:rPr>
        <w:t xml:space="preserve"> в Правила определения стоимости чистых активов </w:t>
      </w:r>
      <w:r w:rsidR="00E91C20" w:rsidRPr="00664B66">
        <w:rPr>
          <w:b/>
          <w:szCs w:val="24"/>
        </w:rPr>
        <w:t>открытого паевого инвестиционного фонда</w:t>
      </w:r>
      <w:r w:rsidR="00E91C20">
        <w:rPr>
          <w:b/>
          <w:szCs w:val="24"/>
        </w:rPr>
        <w:t xml:space="preserve"> </w:t>
      </w:r>
      <w:r w:rsidR="00E91C20" w:rsidRPr="007B334F">
        <w:rPr>
          <w:b/>
          <w:szCs w:val="24"/>
        </w:rPr>
        <w:t>рыночных финансовых инструментов</w:t>
      </w:r>
      <w:r w:rsidR="00E91C20" w:rsidRPr="00664B66">
        <w:rPr>
          <w:b/>
          <w:szCs w:val="24"/>
        </w:rPr>
        <w:t xml:space="preserve"> </w:t>
      </w:r>
      <w:r w:rsidR="00E91C20" w:rsidRPr="004C4973">
        <w:rPr>
          <w:b/>
          <w:szCs w:val="24"/>
        </w:rPr>
        <w:t>«</w:t>
      </w:r>
      <w:r w:rsidR="00E91C20" w:rsidRPr="00C560B9">
        <w:rPr>
          <w:b/>
          <w:szCs w:val="24"/>
        </w:rPr>
        <w:t>РЕГИОН Доходные облигации</w:t>
      </w:r>
      <w:r w:rsidR="00E91C20" w:rsidRPr="004C4973">
        <w:rPr>
          <w:b/>
          <w:szCs w:val="24"/>
        </w:rPr>
        <w:t>»</w:t>
      </w:r>
    </w:p>
    <w:p w14:paraId="55344DE1" w14:textId="77777777" w:rsidR="008C0A68" w:rsidRPr="004C4973" w:rsidRDefault="008C0A68" w:rsidP="008C0A68">
      <w:pPr>
        <w:ind w:left="360"/>
        <w:jc w:val="center"/>
        <w:rPr>
          <w:b/>
          <w:szCs w:val="24"/>
        </w:rPr>
      </w:pPr>
    </w:p>
    <w:p w14:paraId="529C901F" w14:textId="77777777" w:rsidR="008C0A68" w:rsidRPr="00664B66" w:rsidRDefault="008C0A68" w:rsidP="008C0A68">
      <w:pPr>
        <w:ind w:left="360"/>
        <w:rPr>
          <w:szCs w:val="24"/>
        </w:rPr>
      </w:pPr>
    </w:p>
    <w:p w14:paraId="5B51D7DE" w14:textId="77777777" w:rsidR="008C0A68" w:rsidRPr="006D7089" w:rsidRDefault="008C0A68" w:rsidP="008C0A68">
      <w:pPr>
        <w:ind w:left="360"/>
        <w:rPr>
          <w:sz w:val="28"/>
          <w:szCs w:val="28"/>
        </w:rPr>
      </w:pPr>
      <w:r>
        <w:rPr>
          <w:szCs w:val="24"/>
        </w:rPr>
        <w:t xml:space="preserve"> </w:t>
      </w:r>
      <w:r>
        <w:rPr>
          <w:szCs w:val="24"/>
        </w:rPr>
        <w:tab/>
      </w:r>
      <w:r w:rsidRPr="00664B66">
        <w:rPr>
          <w:szCs w:val="24"/>
        </w:rPr>
        <w:t xml:space="preserve">В связи </w:t>
      </w:r>
      <w:r>
        <w:rPr>
          <w:szCs w:val="24"/>
        </w:rPr>
        <w:t>уточнением методики определения справедливой стоимости активов, изложить Правила определения стоимости чистых активов в следующей редакции:</w:t>
      </w:r>
    </w:p>
    <w:p w14:paraId="6DD33AFC" w14:textId="77777777" w:rsidR="008C0A68" w:rsidRPr="005C3E39" w:rsidRDefault="008C0A68" w:rsidP="008C0A68">
      <w:pPr>
        <w:ind w:left="360"/>
        <w:rPr>
          <w:sz w:val="28"/>
          <w:szCs w:val="28"/>
        </w:rPr>
      </w:pPr>
    </w:p>
    <w:p w14:paraId="5B8ABF7E" w14:textId="77777777" w:rsidR="008C0A68" w:rsidRPr="005C3E39" w:rsidRDefault="008C0A68" w:rsidP="008C0A68">
      <w:pPr>
        <w:ind w:left="360"/>
        <w:rPr>
          <w:sz w:val="28"/>
          <w:szCs w:val="28"/>
        </w:rPr>
      </w:pPr>
    </w:p>
    <w:p w14:paraId="74E13EFB" w14:textId="77777777" w:rsidR="008C0A68" w:rsidRPr="005C3E39" w:rsidRDefault="008C0A68" w:rsidP="008C0A68">
      <w:pPr>
        <w:jc w:val="center"/>
        <w:rPr>
          <w:b/>
          <w:bCs/>
          <w:sz w:val="34"/>
          <w:szCs w:val="34"/>
        </w:rPr>
      </w:pPr>
      <w:r w:rsidRPr="005C3E39">
        <w:rPr>
          <w:b/>
          <w:bCs/>
          <w:sz w:val="34"/>
          <w:szCs w:val="34"/>
        </w:rPr>
        <w:t>ПРАВИЛА</w:t>
      </w:r>
    </w:p>
    <w:p w14:paraId="003A06D8" w14:textId="5EB72D94" w:rsidR="008C0A68" w:rsidRPr="005C3E39" w:rsidRDefault="008C0A68" w:rsidP="008C0A68">
      <w:pPr>
        <w:jc w:val="center"/>
      </w:pPr>
      <w:r w:rsidRPr="005C3E39">
        <w:rPr>
          <w:b/>
          <w:bCs/>
          <w:sz w:val="32"/>
          <w:szCs w:val="32"/>
        </w:rPr>
        <w:t>определения стоимости чистых активов</w:t>
      </w:r>
      <w:r>
        <w:rPr>
          <w:b/>
          <w:bCs/>
          <w:sz w:val="32"/>
          <w:szCs w:val="32"/>
        </w:rPr>
        <w:t xml:space="preserve"> </w:t>
      </w:r>
      <w:r w:rsidR="00E91C20" w:rsidRPr="005C3E39">
        <w:rPr>
          <w:b/>
          <w:bCs/>
          <w:sz w:val="32"/>
          <w:szCs w:val="32"/>
        </w:rPr>
        <w:t>Открытого паевого инвестиционного фонда</w:t>
      </w:r>
      <w:r w:rsidR="00E91C20">
        <w:rPr>
          <w:b/>
          <w:bCs/>
          <w:sz w:val="32"/>
          <w:szCs w:val="32"/>
        </w:rPr>
        <w:t xml:space="preserve"> </w:t>
      </w:r>
      <w:r w:rsidR="00E91C20" w:rsidRPr="00287F00">
        <w:rPr>
          <w:b/>
          <w:bCs/>
          <w:sz w:val="32"/>
          <w:szCs w:val="32"/>
        </w:rPr>
        <w:t xml:space="preserve">рыночных финансовых инструментов </w:t>
      </w:r>
      <w:r w:rsidR="00E91C20" w:rsidRPr="00B602F2">
        <w:rPr>
          <w:b/>
          <w:bCs/>
          <w:sz w:val="32"/>
          <w:szCs w:val="32"/>
        </w:rPr>
        <w:t>«</w:t>
      </w:r>
      <w:r w:rsidR="00E91C20" w:rsidRPr="00216978">
        <w:rPr>
          <w:b/>
          <w:bCs/>
          <w:sz w:val="32"/>
          <w:szCs w:val="32"/>
        </w:rPr>
        <w:t>РЕГИОН Доходные облигации</w:t>
      </w:r>
      <w:r w:rsidR="00E91C20" w:rsidRPr="00B602F2">
        <w:rPr>
          <w:b/>
          <w:bCs/>
          <w:sz w:val="32"/>
          <w:szCs w:val="32"/>
        </w:rPr>
        <w:t>»</w:t>
      </w:r>
    </w:p>
    <w:p w14:paraId="32DB0920" w14:textId="5940F943" w:rsidR="00484282" w:rsidRPr="00E44CA6" w:rsidRDefault="00484282" w:rsidP="00E44CA6">
      <w:pPr>
        <w:jc w:val="center"/>
        <w:rPr>
          <w:b/>
          <w:bCs/>
          <w:sz w:val="32"/>
          <w:szCs w:val="32"/>
        </w:rPr>
      </w:pPr>
    </w:p>
    <w:p w14:paraId="17F9D70F" w14:textId="77777777" w:rsidR="00484282" w:rsidRPr="005C3E39" w:rsidRDefault="00484282" w:rsidP="0072342E">
      <w:pPr>
        <w:pStyle w:val="BodyNum"/>
        <w:numPr>
          <w:ilvl w:val="0"/>
          <w:numId w:val="0"/>
        </w:numPr>
        <w:ind w:left="2160"/>
      </w:pPr>
    </w:p>
    <w:p w14:paraId="66BC2A65" w14:textId="77777777" w:rsidR="00DF7B1B" w:rsidRPr="005C3E39" w:rsidRDefault="00DF7B1B" w:rsidP="0072342E"/>
    <w:p w14:paraId="5BB35DA0" w14:textId="77777777" w:rsidR="00644427" w:rsidRPr="005C3E39" w:rsidRDefault="00644427" w:rsidP="0072342E"/>
    <w:p w14:paraId="0B1BA369" w14:textId="77777777" w:rsidR="00644427" w:rsidRPr="005C3E39" w:rsidRDefault="00644427" w:rsidP="0072342E"/>
    <w:p w14:paraId="3E58B648" w14:textId="77777777" w:rsidR="00644427" w:rsidRPr="005C3E39" w:rsidRDefault="00644427" w:rsidP="0072342E"/>
    <w:p w14:paraId="6C55B867" w14:textId="77777777" w:rsidR="00644427" w:rsidRPr="005C3E39" w:rsidRDefault="00644427" w:rsidP="0072342E"/>
    <w:p w14:paraId="2F9035DD" w14:textId="77777777" w:rsidR="00644427" w:rsidRPr="005C3E39" w:rsidRDefault="00644427" w:rsidP="0072342E"/>
    <w:p w14:paraId="4A6F2F3C" w14:textId="77777777" w:rsidR="00644427" w:rsidRPr="005C3E39" w:rsidRDefault="00644427" w:rsidP="0072342E"/>
    <w:p w14:paraId="2673E35F" w14:textId="77777777" w:rsidR="00644427" w:rsidRPr="005C3E39" w:rsidRDefault="00644427" w:rsidP="0072342E"/>
    <w:p w14:paraId="46E66D6E" w14:textId="77777777" w:rsidR="00644427" w:rsidRPr="005C3E39" w:rsidRDefault="00644427" w:rsidP="0072342E"/>
    <w:p w14:paraId="1100FE77" w14:textId="77777777" w:rsidR="00532BF0" w:rsidRPr="005C3E39" w:rsidRDefault="00532BF0" w:rsidP="0072342E"/>
    <w:p w14:paraId="1942E2E4" w14:textId="77777777" w:rsidR="00EA4001" w:rsidRPr="005C3E39" w:rsidRDefault="00EA4001" w:rsidP="0072342E">
      <w:pPr>
        <w:pStyle w:val="16"/>
        <w:rPr>
          <w:sz w:val="28"/>
          <w:szCs w:val="28"/>
        </w:rPr>
      </w:pPr>
      <w:bookmarkStart w:id="1" w:name="_Toc66447208"/>
      <w:bookmarkStart w:id="2" w:name="_Toc74043288"/>
      <w:r w:rsidRPr="005C3E39">
        <w:rPr>
          <w:sz w:val="28"/>
          <w:szCs w:val="28"/>
        </w:rPr>
        <w:lastRenderedPageBreak/>
        <w:t>Общие положения.</w:t>
      </w:r>
      <w:bookmarkEnd w:id="1"/>
      <w:bookmarkEnd w:id="2"/>
    </w:p>
    <w:p w14:paraId="36070CE9" w14:textId="77777777" w:rsidR="00EA4001" w:rsidRPr="005C3E39" w:rsidRDefault="00EA4001" w:rsidP="0072342E">
      <w:pPr>
        <w:jc w:val="center"/>
        <w:rPr>
          <w:b/>
          <w:szCs w:val="24"/>
        </w:rPr>
      </w:pPr>
    </w:p>
    <w:p w14:paraId="47871671" w14:textId="216580CC" w:rsidR="001B3087" w:rsidRPr="005C3E39" w:rsidRDefault="001B3087" w:rsidP="00463D6F">
      <w:pPr>
        <w:pStyle w:val="a1"/>
        <w:numPr>
          <w:ilvl w:val="0"/>
          <w:numId w:val="0"/>
        </w:numPr>
        <w:ind w:left="426"/>
      </w:pPr>
      <w:r w:rsidRPr="005C3E39">
        <w:t xml:space="preserve">              Настоящие Правила определения стоимости чистых активов (далее – Правила СЧА) </w:t>
      </w:r>
      <w:r w:rsidR="00055FDA" w:rsidRPr="00F825E1">
        <w:t xml:space="preserve">Открытого паевого инвестиционного фонда </w:t>
      </w:r>
      <w:r w:rsidR="00055FDA">
        <w:t>рыночных финансовых инструментов</w:t>
      </w:r>
      <w:r w:rsidR="00055FDA" w:rsidRPr="000C6C4D">
        <w:t xml:space="preserve"> </w:t>
      </w:r>
      <w:r w:rsidR="00055FDA" w:rsidRPr="00337DBE">
        <w:t>«</w:t>
      </w:r>
      <w:r w:rsidR="00055FDA" w:rsidRPr="00216978">
        <w:t>РЕГИОН Доходные облигации</w:t>
      </w:r>
      <w:r w:rsidR="00055FDA" w:rsidRPr="00337DBE">
        <w:t>»</w:t>
      </w:r>
      <w:r w:rsidR="00055FDA" w:rsidRPr="00F825E1" w:rsidDel="008C0459">
        <w:t xml:space="preserve"> </w:t>
      </w:r>
      <w:r w:rsidR="00055FDA" w:rsidRPr="00F825E1">
        <w:t>под управлением Акционерного общества «РЕГИОН Эссет Менеджмент»</w:t>
      </w:r>
      <w:r w:rsidR="00055FDA" w:rsidRPr="005C3E39" w:rsidDel="009B644A">
        <w:t xml:space="preserve"> </w:t>
      </w:r>
      <w:r w:rsidRPr="005C3E39">
        <w:t>разработаны в соответствии с Указанием Центрального Банка Российской Федерации от 25 августа 2015 года  № 3758-У «Об определени</w:t>
      </w:r>
      <w:r w:rsidR="0045539C" w:rsidRPr="005C3E39">
        <w:t>и</w:t>
      </w:r>
      <w:r w:rsidRPr="005C3E39">
        <w:t xml:space="preserve">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14:paraId="2474D80D" w14:textId="2A6FDA9B" w:rsidR="008068EC" w:rsidRPr="005C3E39" w:rsidRDefault="002506DD" w:rsidP="002A021B">
      <w:pPr>
        <w:pStyle w:val="a1"/>
        <w:numPr>
          <w:ilvl w:val="0"/>
          <w:numId w:val="0"/>
        </w:numPr>
        <w:ind w:left="1146" w:hanging="720"/>
      </w:pPr>
      <w:r w:rsidRPr="005C3E39">
        <w:t xml:space="preserve">      </w:t>
      </w:r>
      <w:r w:rsidR="008068EC" w:rsidRPr="005C3E39">
        <w:t xml:space="preserve">Правила определения СЧА </w:t>
      </w:r>
      <w:r w:rsidR="0042481A" w:rsidRPr="005C3E39">
        <w:t xml:space="preserve">в настоящей редакции </w:t>
      </w:r>
      <w:r w:rsidR="008068EC" w:rsidRPr="005C3E39">
        <w:t xml:space="preserve">применяются </w:t>
      </w:r>
      <w:r w:rsidR="0042481A" w:rsidRPr="00A018A8">
        <w:t xml:space="preserve">с </w:t>
      </w:r>
      <w:r w:rsidR="0027588B" w:rsidRPr="00A018A8">
        <w:t xml:space="preserve"> </w:t>
      </w:r>
      <w:r w:rsidR="00EC1EE7">
        <w:t xml:space="preserve">14  </w:t>
      </w:r>
      <w:r w:rsidR="009F0476">
        <w:t xml:space="preserve">сентября </w:t>
      </w:r>
      <w:r w:rsidR="00055FDA" w:rsidRPr="00A018A8">
        <w:t xml:space="preserve">   </w:t>
      </w:r>
      <w:r w:rsidR="0042481A" w:rsidRPr="00A018A8">
        <w:t>20</w:t>
      </w:r>
      <w:r w:rsidR="00EC149B" w:rsidRPr="00A018A8">
        <w:t>2</w:t>
      </w:r>
      <w:r w:rsidR="00BB2CEA" w:rsidRPr="00A018A8">
        <w:t>6</w:t>
      </w:r>
      <w:r w:rsidR="0042481A" w:rsidRPr="00A018A8">
        <w:t>г</w:t>
      </w:r>
      <w:r w:rsidR="0042481A" w:rsidRPr="005C3E39">
        <w:t>.</w:t>
      </w:r>
      <w:r w:rsidR="008068EC" w:rsidRPr="005C3E39">
        <w:t xml:space="preserve"> </w:t>
      </w:r>
    </w:p>
    <w:p w14:paraId="31912CE3" w14:textId="5F61D80F" w:rsidR="00EB2CBA" w:rsidRPr="005C3E39" w:rsidRDefault="002506DD" w:rsidP="002A021B">
      <w:pPr>
        <w:pStyle w:val="a1"/>
        <w:numPr>
          <w:ilvl w:val="0"/>
          <w:numId w:val="0"/>
        </w:numPr>
        <w:ind w:left="426"/>
      </w:pPr>
      <w:r w:rsidRPr="005C3E39">
        <w:t xml:space="preserve">       </w:t>
      </w:r>
      <w:r w:rsidR="0033487F" w:rsidRPr="005C3E39">
        <w:t xml:space="preserve">Изменения и дополнения в настоящие Правила определения СЧА </w:t>
      </w:r>
      <w:r w:rsidR="00E249A9" w:rsidRPr="005C3E39">
        <w:t>могут быть внесены в случаях, установленных нормативными правовыми актами</w:t>
      </w:r>
      <w:r w:rsidR="00953EF2" w:rsidRPr="005C3E39">
        <w:t>.</w:t>
      </w:r>
    </w:p>
    <w:p w14:paraId="2973C2DA" w14:textId="232FF804" w:rsidR="005318EC" w:rsidRPr="005C3E39" w:rsidRDefault="002506DD" w:rsidP="002A021B">
      <w:pPr>
        <w:pStyle w:val="a1"/>
        <w:numPr>
          <w:ilvl w:val="0"/>
          <w:numId w:val="0"/>
        </w:numPr>
        <w:ind w:left="426"/>
      </w:pPr>
      <w:r w:rsidRPr="005C3E39">
        <w:t xml:space="preserve">       </w:t>
      </w:r>
      <w:r w:rsidR="005318EC" w:rsidRPr="005C3E39">
        <w:t xml:space="preserve">Результаты определения стоимости чистых </w:t>
      </w:r>
      <w:r w:rsidR="00AB6548" w:rsidRPr="005C3E39">
        <w:t>активов паевого инвестиционного</w:t>
      </w:r>
      <w:r w:rsidR="00EB2CBA" w:rsidRPr="005C3E39">
        <w:t xml:space="preserve"> </w:t>
      </w:r>
      <w:r w:rsidR="005318EC" w:rsidRPr="005C3E39">
        <w:t>фонда</w:t>
      </w:r>
      <w:r w:rsidR="002A021B" w:rsidRPr="005C3E39">
        <w:t xml:space="preserve"> (далее-СЧА)</w:t>
      </w:r>
      <w:r w:rsidR="005318EC" w:rsidRPr="005C3E39">
        <w:t>, а также расчетной стоимости инвестиционного пая паевого инвестиционного фонда отражаются в справке о стоимости чистых активов</w:t>
      </w:r>
      <w:r w:rsidR="002A021B" w:rsidRPr="005C3E39">
        <w:t xml:space="preserve"> (далее-Справка СЧА)</w:t>
      </w:r>
      <w:r w:rsidR="005318EC" w:rsidRPr="005C3E39">
        <w:t>.</w:t>
      </w:r>
    </w:p>
    <w:p w14:paraId="5906FC7C" w14:textId="78ED2F03" w:rsidR="00F55C07" w:rsidRPr="005C3E39" w:rsidRDefault="002506DD" w:rsidP="002A021B">
      <w:pPr>
        <w:pStyle w:val="a1"/>
        <w:numPr>
          <w:ilvl w:val="0"/>
          <w:numId w:val="0"/>
        </w:numPr>
        <w:ind w:left="426"/>
      </w:pPr>
      <w:r w:rsidRPr="005C3E39">
        <w:t xml:space="preserve">         </w:t>
      </w:r>
      <w:r w:rsidR="00F55C07" w:rsidRPr="005C3E39">
        <w:t xml:space="preserve">Стоимость чистых активов Фонда определяется по состоянию </w:t>
      </w:r>
      <w:r w:rsidR="004D6B6B" w:rsidRPr="005C3E39">
        <w:t>на 23:59:59 часов московского времени</w:t>
      </w:r>
      <w:r w:rsidR="00F55C07" w:rsidRPr="005C3E39">
        <w:t xml:space="preserve"> даты, за которую рассчитывается стоимость чистых активов, с учетом данных, раскрытых на указанную дату в доступных для </w:t>
      </w:r>
      <w:r w:rsidR="0083701C" w:rsidRPr="005C3E39">
        <w:t xml:space="preserve">Управляющей </w:t>
      </w:r>
      <w:r w:rsidR="00F55C07" w:rsidRPr="005C3E39">
        <w:t>компании источниках, вне зависимости от часового пояса.</w:t>
      </w:r>
    </w:p>
    <w:p w14:paraId="7C111256" w14:textId="425265A2" w:rsidR="005318EC" w:rsidRPr="005C3E39" w:rsidRDefault="002506DD" w:rsidP="002A021B">
      <w:pPr>
        <w:pStyle w:val="a1"/>
        <w:numPr>
          <w:ilvl w:val="0"/>
          <w:numId w:val="0"/>
        </w:numPr>
        <w:ind w:left="426"/>
      </w:pPr>
      <w:r w:rsidRPr="005C3E39">
        <w:t xml:space="preserve">         </w:t>
      </w:r>
      <w:r w:rsidR="005318EC" w:rsidRPr="005C3E39">
        <w:t xml:space="preserve">Стоимость чистых активов определяется </w:t>
      </w:r>
      <w:r w:rsidR="00D87826" w:rsidRPr="001F506B">
        <w:rPr>
          <w:rFonts w:eastAsia="Times New Roman"/>
        </w:rPr>
        <w:t>в сроки, установленные нормативными актами Банка России</w:t>
      </w:r>
      <w:r w:rsidR="00D87826">
        <w:rPr>
          <w:rFonts w:eastAsia="Times New Roman"/>
        </w:rPr>
        <w:t>.</w:t>
      </w:r>
      <w:r w:rsidR="005318EC" w:rsidRPr="005C3E39">
        <w:t>.</w:t>
      </w:r>
    </w:p>
    <w:p w14:paraId="35F95FA9" w14:textId="0CD73E8C" w:rsidR="005318EC" w:rsidRPr="005C3E39" w:rsidRDefault="002506DD" w:rsidP="002A021B">
      <w:pPr>
        <w:pStyle w:val="a1"/>
        <w:numPr>
          <w:ilvl w:val="0"/>
          <w:numId w:val="0"/>
        </w:numPr>
        <w:ind w:left="426"/>
      </w:pPr>
      <w:r w:rsidRPr="005C3E39">
        <w:t xml:space="preserve">          </w:t>
      </w:r>
      <w:r w:rsidR="005318EC" w:rsidRPr="005C3E39">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14:paraId="3AD797F5" w14:textId="1D0E8324" w:rsidR="0016519B" w:rsidRDefault="005318EC" w:rsidP="002A021B">
      <w:pPr>
        <w:pStyle w:val="a1"/>
        <w:numPr>
          <w:ilvl w:val="0"/>
          <w:numId w:val="0"/>
        </w:numPr>
        <w:ind w:left="1146"/>
      </w:pPr>
      <w:r w:rsidRPr="005C3E39">
        <w:t>Стоимость чис</w:t>
      </w:r>
      <w:r w:rsidR="00690080" w:rsidRPr="005C3E39">
        <w:t>тых активов Фонда определяется</w:t>
      </w:r>
      <w:r w:rsidR="0016519B" w:rsidRPr="005C3E39">
        <w:t>:</w:t>
      </w:r>
    </w:p>
    <w:p w14:paraId="38528A51" w14:textId="0924210D" w:rsidR="00C81490" w:rsidRDefault="00C81490" w:rsidP="00C81490">
      <w:pPr>
        <w:autoSpaceDE w:val="0"/>
        <w:autoSpaceDN w:val="0"/>
        <w:adjustRightInd w:val="0"/>
        <w:ind w:firstLine="540"/>
        <w:jc w:val="both"/>
        <w:rPr>
          <w:szCs w:val="24"/>
        </w:rPr>
      </w:pPr>
      <w:r>
        <w:rPr>
          <w:szCs w:val="24"/>
        </w:rPr>
        <w:t xml:space="preserve">   - на дату завершения (окончания) формирования паевого инвестиционного фонда;</w:t>
      </w:r>
    </w:p>
    <w:p w14:paraId="7BED695E" w14:textId="77777777" w:rsidR="005318EC" w:rsidRPr="005C3E39" w:rsidRDefault="00463D6F" w:rsidP="002506DD">
      <w:pPr>
        <w:pStyle w:val="a1"/>
        <w:numPr>
          <w:ilvl w:val="0"/>
          <w:numId w:val="0"/>
        </w:numPr>
        <w:ind w:left="720"/>
      </w:pPr>
      <w:r w:rsidRPr="005C3E39">
        <w:t xml:space="preserve">- </w:t>
      </w:r>
      <w:r w:rsidR="0016519B" w:rsidRPr="005C3E39">
        <w:t>каждый рабочий день</w:t>
      </w:r>
      <w:r w:rsidR="008A60F7" w:rsidRPr="005C3E39">
        <w:t xml:space="preserve"> после формирования Фонда</w:t>
      </w:r>
      <w:r w:rsidR="0016519B" w:rsidRPr="005C3E39">
        <w:t>;</w:t>
      </w:r>
    </w:p>
    <w:p w14:paraId="5DF03368" w14:textId="1DE1E0D3" w:rsidR="005318EC" w:rsidRPr="005C3E39" w:rsidRDefault="00463D6F" w:rsidP="002506DD">
      <w:pPr>
        <w:pStyle w:val="a1"/>
        <w:numPr>
          <w:ilvl w:val="0"/>
          <w:numId w:val="0"/>
        </w:numPr>
        <w:ind w:left="720"/>
      </w:pPr>
      <w:r w:rsidRPr="005C3E39">
        <w:t xml:space="preserve">- </w:t>
      </w:r>
      <w:r w:rsidR="005318EC" w:rsidRPr="005C3E39">
        <w:t>в случае приостановления выдачи, погашения инвестиционных паев – на дату возобновления их выдачи, погашения;</w:t>
      </w:r>
    </w:p>
    <w:p w14:paraId="62F10B26" w14:textId="77777777" w:rsidR="005318EC" w:rsidRPr="005C3E39" w:rsidRDefault="005318EC" w:rsidP="002506DD">
      <w:pPr>
        <w:pStyle w:val="a1"/>
        <w:numPr>
          <w:ilvl w:val="0"/>
          <w:numId w:val="0"/>
        </w:numPr>
      </w:pPr>
      <w:r w:rsidRPr="005C3E39">
        <w:t xml:space="preserve"> </w:t>
      </w:r>
      <w:r w:rsidR="00463D6F" w:rsidRPr="005C3E39">
        <w:t xml:space="preserve">           - </w:t>
      </w:r>
      <w:r w:rsidRPr="005C3E39">
        <w:t>в случае прекращения паевого инвестиционного Фонда – на дату возникновения основания его прекращения</w:t>
      </w:r>
      <w:r w:rsidR="00396B1A" w:rsidRPr="005C3E39">
        <w:t xml:space="preserve">. </w:t>
      </w:r>
      <w:r w:rsidRPr="005C3E39">
        <w:t xml:space="preserve"> </w:t>
      </w:r>
    </w:p>
    <w:p w14:paraId="54459FFF" w14:textId="77777777" w:rsidR="003D5A8E" w:rsidRPr="005C3E39" w:rsidRDefault="005318EC" w:rsidP="00463D6F">
      <w:pPr>
        <w:pStyle w:val="a1"/>
        <w:numPr>
          <w:ilvl w:val="0"/>
          <w:numId w:val="0"/>
        </w:numPr>
        <w:ind w:left="426"/>
      </w:pPr>
      <w:r w:rsidRPr="005C3E39">
        <w:t>Стоимость чистых активов Фонда, в том числе среднегодовая стоимость чистых активов Фонда, а также расчетная стоимость инвести</w:t>
      </w:r>
      <w:r w:rsidR="00604302" w:rsidRPr="005C3E39">
        <w:t>ционного пая Фонда определяются</w:t>
      </w:r>
      <w:r w:rsidR="0016519B" w:rsidRPr="005C3E39">
        <w:t xml:space="preserve"> </w:t>
      </w:r>
      <w:r w:rsidRPr="005C3E39">
        <w:t>с точност</w:t>
      </w:r>
      <w:r w:rsidR="00604302" w:rsidRPr="005C3E39">
        <w:t>ью до двух знаков после запятой</w:t>
      </w:r>
      <w:r w:rsidRPr="005C3E39">
        <w:t xml:space="preserve"> с применением правил математического округления</w:t>
      </w:r>
      <w:r w:rsidR="00604302" w:rsidRPr="005C3E39">
        <w:t xml:space="preserve"> в рублях.</w:t>
      </w:r>
    </w:p>
    <w:p w14:paraId="0E17E8C2" w14:textId="77777777" w:rsidR="002A37A0" w:rsidRPr="005C3E39" w:rsidRDefault="002A37A0" w:rsidP="00463D6F">
      <w:pPr>
        <w:pStyle w:val="a1"/>
        <w:numPr>
          <w:ilvl w:val="0"/>
          <w:numId w:val="0"/>
        </w:numPr>
        <w:ind w:left="426"/>
      </w:pPr>
    </w:p>
    <w:p w14:paraId="46491C43" w14:textId="77777777" w:rsidR="00461309" w:rsidRPr="005C3E39" w:rsidRDefault="00461309" w:rsidP="00461309">
      <w:pPr>
        <w:pStyle w:val="16"/>
        <w:numPr>
          <w:ilvl w:val="0"/>
          <w:numId w:val="0"/>
        </w:numPr>
        <w:ind w:left="360"/>
        <w:rPr>
          <w:sz w:val="22"/>
          <w:szCs w:val="22"/>
        </w:rPr>
      </w:pPr>
      <w:r w:rsidRPr="005C3E39">
        <w:rPr>
          <w:rStyle w:val="17"/>
          <w:b/>
          <w:sz w:val="22"/>
          <w:szCs w:val="22"/>
        </w:rPr>
        <w:t>Порядок урегулирования разногласий между Управляющей компанией и специализированным депозитарием при определении стоимости чистых активов</w:t>
      </w:r>
      <w:r w:rsidRPr="005C3E39">
        <w:rPr>
          <w:sz w:val="22"/>
          <w:szCs w:val="22"/>
        </w:rPr>
        <w:t xml:space="preserve">        </w:t>
      </w:r>
    </w:p>
    <w:p w14:paraId="7DCE229C" w14:textId="77777777" w:rsidR="00461309" w:rsidRPr="005C3E39" w:rsidRDefault="00461309" w:rsidP="00461309">
      <w:pPr>
        <w:pStyle w:val="12"/>
        <w:tabs>
          <w:tab w:val="left" w:pos="993"/>
        </w:tabs>
        <w:ind w:left="0"/>
        <w:jc w:val="both"/>
        <w:rPr>
          <w:rFonts w:eastAsia="Batang"/>
          <w:color w:val="000000"/>
          <w:szCs w:val="24"/>
        </w:rPr>
      </w:pPr>
      <w:r w:rsidRPr="005C3E39">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14:paraId="6812A691" w14:textId="77777777" w:rsidR="00461309" w:rsidRPr="005C3E39" w:rsidRDefault="00461309" w:rsidP="00461309">
      <w:pPr>
        <w:pStyle w:val="12"/>
        <w:tabs>
          <w:tab w:val="left" w:pos="993"/>
        </w:tabs>
        <w:ind w:left="0"/>
        <w:jc w:val="both"/>
        <w:rPr>
          <w:rFonts w:eastAsia="Batang"/>
          <w:color w:val="000000"/>
          <w:szCs w:val="24"/>
        </w:rPr>
      </w:pPr>
      <w:r w:rsidRPr="005C3E39">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расхождений результатов сверки СЧА. Факт последующего устранения расхождений подтверждается путем заверения справки о СЧА Специализированным депозитарием. </w:t>
      </w:r>
    </w:p>
    <w:p w14:paraId="2E8CF818" w14:textId="77777777" w:rsidR="00461309" w:rsidRPr="005C3E39" w:rsidRDefault="00461309" w:rsidP="00461309">
      <w:pPr>
        <w:pStyle w:val="12"/>
        <w:tabs>
          <w:tab w:val="left" w:pos="993"/>
        </w:tabs>
        <w:ind w:left="0"/>
        <w:jc w:val="both"/>
        <w:rPr>
          <w:rFonts w:eastAsia="Batang"/>
          <w:color w:val="000000"/>
          <w:szCs w:val="24"/>
        </w:rPr>
      </w:pPr>
      <w:r w:rsidRPr="005C3E39">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w:t>
      </w:r>
      <w:r w:rsidRPr="005C3E39">
        <w:rPr>
          <w:rFonts w:eastAsia="Batang"/>
          <w:color w:val="000000"/>
          <w:szCs w:val="24"/>
        </w:rPr>
        <w:lastRenderedPageBreak/>
        <w:t>(обязательства) в размере 0,1% и более корректной СЧА, и/или отклонение СЧА на этот момент расчета составляет 0,1% и более корректной СЧА, а также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В случае если указанный пересчет привел к нарушению прав и интересов владельцев инвестиционных паев, управляющая 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14:paraId="71168E60" w14:textId="77777777" w:rsidR="00461309" w:rsidRPr="005C3E39" w:rsidRDefault="00461309" w:rsidP="00461309">
      <w:pPr>
        <w:pStyle w:val="12"/>
        <w:tabs>
          <w:tab w:val="left" w:pos="993"/>
        </w:tabs>
        <w:ind w:left="0"/>
        <w:jc w:val="both"/>
        <w:rPr>
          <w:rFonts w:eastAsia="Batang"/>
          <w:color w:val="000000"/>
          <w:szCs w:val="24"/>
        </w:rPr>
      </w:pPr>
      <w:r w:rsidRPr="005C3E39">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14:paraId="0960FB07" w14:textId="77777777" w:rsidR="00461309" w:rsidRPr="005C3E39" w:rsidRDefault="00461309" w:rsidP="00461309">
      <w:pPr>
        <w:pStyle w:val="12"/>
        <w:tabs>
          <w:tab w:val="left" w:pos="993"/>
        </w:tabs>
        <w:ind w:left="0"/>
        <w:jc w:val="both"/>
        <w:rPr>
          <w:rFonts w:eastAsia="Batang"/>
          <w:color w:val="000000"/>
          <w:szCs w:val="24"/>
        </w:rPr>
      </w:pPr>
      <w:r w:rsidRPr="005C3E39">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14:paraId="688B02A6" w14:textId="77777777" w:rsidR="00461309" w:rsidRPr="005C3E39" w:rsidRDefault="00461309" w:rsidP="00577C5E">
      <w:pPr>
        <w:pStyle w:val="16"/>
        <w:numPr>
          <w:ilvl w:val="0"/>
          <w:numId w:val="0"/>
        </w:numPr>
        <w:ind w:left="360"/>
        <w:rPr>
          <w:rStyle w:val="17"/>
          <w:b/>
          <w:sz w:val="22"/>
          <w:szCs w:val="22"/>
        </w:rPr>
      </w:pPr>
      <w:r w:rsidRPr="005C3E39">
        <w:rPr>
          <w:rStyle w:val="17"/>
          <w:b/>
          <w:sz w:val="22"/>
          <w:szCs w:val="22"/>
        </w:rPr>
        <w:t>Порядок определения стоимости  имущества, переданного в оплату инвестиционных паев</w:t>
      </w:r>
    </w:p>
    <w:p w14:paraId="37F1829B" w14:textId="77777777" w:rsidR="00461309" w:rsidRPr="005C3E39" w:rsidRDefault="00461309" w:rsidP="00461309">
      <w:pPr>
        <w:pStyle w:val="12"/>
        <w:tabs>
          <w:tab w:val="left" w:pos="993"/>
        </w:tabs>
        <w:ind w:left="0"/>
        <w:jc w:val="both"/>
        <w:rPr>
          <w:rFonts w:eastAsia="Batang"/>
          <w:color w:val="000000"/>
          <w:szCs w:val="24"/>
        </w:rPr>
      </w:pPr>
      <w:r w:rsidRPr="005C3E39">
        <w:rPr>
          <w:rFonts w:eastAsia="Batang"/>
          <w:color w:val="000000"/>
          <w:szCs w:val="24"/>
        </w:rPr>
        <w:t xml:space="preserve">         В оплату инвестиционных паев передаются только денежные средства. </w:t>
      </w:r>
    </w:p>
    <w:p w14:paraId="472C4827" w14:textId="77777777" w:rsidR="00461309" w:rsidRPr="005C3E39" w:rsidRDefault="00461309" w:rsidP="00461309">
      <w:pPr>
        <w:pStyle w:val="12"/>
        <w:tabs>
          <w:tab w:val="left" w:pos="993"/>
        </w:tabs>
        <w:ind w:left="0"/>
        <w:jc w:val="both"/>
        <w:rPr>
          <w:szCs w:val="24"/>
        </w:rPr>
      </w:pPr>
      <w:r w:rsidRPr="005C3E39">
        <w:rPr>
          <w:szCs w:val="24"/>
        </w:rPr>
        <w:t>Стоимость имущества, переданного в оплату инвестиционных паев ПИФ, определяется по состоянию на 23:59:59 часов московского времени на дату передачи имущества в оплату инвестиционных паев Фонда.</w:t>
      </w:r>
    </w:p>
    <w:p w14:paraId="08D8E3D4" w14:textId="77777777" w:rsidR="00461309" w:rsidRPr="005C3E39" w:rsidRDefault="00461309" w:rsidP="00577C5E"/>
    <w:p w14:paraId="03A8DF76" w14:textId="77777777" w:rsidR="00461309" w:rsidRPr="005C3E39" w:rsidRDefault="00461309" w:rsidP="00461309">
      <w:pPr>
        <w:pStyle w:val="a1"/>
        <w:numPr>
          <w:ilvl w:val="0"/>
          <w:numId w:val="0"/>
        </w:numPr>
        <w:ind w:left="426"/>
      </w:pPr>
    </w:p>
    <w:p w14:paraId="00916220" w14:textId="77777777" w:rsidR="00461309" w:rsidRPr="005C3E39" w:rsidRDefault="00461309" w:rsidP="00461309">
      <w:pPr>
        <w:pStyle w:val="a1"/>
        <w:numPr>
          <w:ilvl w:val="0"/>
          <w:numId w:val="0"/>
        </w:numPr>
        <w:ind w:left="426"/>
      </w:pPr>
    </w:p>
    <w:p w14:paraId="646E1833" w14:textId="77777777" w:rsidR="003406EA" w:rsidRPr="005C3E39" w:rsidRDefault="003406EA" w:rsidP="0072342E">
      <w:pPr>
        <w:pStyle w:val="16"/>
        <w:rPr>
          <w:sz w:val="28"/>
          <w:szCs w:val="28"/>
        </w:rPr>
      </w:pPr>
      <w:bookmarkStart w:id="3" w:name="_Toc66447212"/>
      <w:bookmarkStart w:id="4" w:name="_Toc74043292"/>
      <w:r w:rsidRPr="005C3E39">
        <w:rPr>
          <w:sz w:val="28"/>
          <w:szCs w:val="28"/>
        </w:rPr>
        <w:t>Порядок расчета величины резерва на выплату вознаграждения и испо</w:t>
      </w:r>
      <w:r w:rsidR="00597B10" w:rsidRPr="005C3E39">
        <w:rPr>
          <w:sz w:val="28"/>
          <w:szCs w:val="28"/>
        </w:rPr>
        <w:t>льзования такого резерва, а так</w:t>
      </w:r>
      <w:r w:rsidRPr="005C3E39">
        <w:rPr>
          <w:sz w:val="28"/>
          <w:szCs w:val="28"/>
        </w:rPr>
        <w:t>же порядок учета вознаграждений и расходов, связанных с д</w:t>
      </w:r>
      <w:r w:rsidR="0002429A" w:rsidRPr="005C3E39">
        <w:rPr>
          <w:sz w:val="28"/>
          <w:szCs w:val="28"/>
        </w:rPr>
        <w:t>оверительным управлением Фондом</w:t>
      </w:r>
      <w:bookmarkEnd w:id="3"/>
      <w:bookmarkEnd w:id="4"/>
    </w:p>
    <w:p w14:paraId="6EA34DAB" w14:textId="1BF04620"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sidRPr="005C3E39">
        <w:rPr>
          <w:rFonts w:eastAsia="Batang"/>
          <w:color w:val="000000"/>
          <w:szCs w:val="24"/>
        </w:rPr>
        <w:t xml:space="preserve"> Фонда</w:t>
      </w:r>
      <w:r w:rsidRPr="005C3E39">
        <w:rPr>
          <w:rFonts w:eastAsia="Batang"/>
          <w:color w:val="000000"/>
          <w:szCs w:val="24"/>
        </w:rPr>
        <w:t xml:space="preserve">,  и лицу, осуществляющему ведение реестра владельцев инвестиционных паев </w:t>
      </w:r>
      <w:r w:rsidR="008705DE" w:rsidRPr="005C3E39">
        <w:rPr>
          <w:rFonts w:eastAsia="Batang"/>
          <w:color w:val="000000"/>
          <w:szCs w:val="24"/>
        </w:rPr>
        <w:t xml:space="preserve">Фонда </w:t>
      </w:r>
      <w:r w:rsidRPr="005C3E39">
        <w:rPr>
          <w:rFonts w:eastAsia="Batang"/>
          <w:color w:val="000000"/>
          <w:szCs w:val="24"/>
        </w:rPr>
        <w:t>(далее – резерв на выплату прочих вознаграждений).</w:t>
      </w:r>
    </w:p>
    <w:p w14:paraId="09E78911" w14:textId="77777777" w:rsidR="008705DE" w:rsidRPr="005C3E39" w:rsidRDefault="008705DE" w:rsidP="0072342E">
      <w:pPr>
        <w:pStyle w:val="12"/>
        <w:tabs>
          <w:tab w:val="left" w:pos="993"/>
        </w:tabs>
        <w:ind w:left="0"/>
        <w:jc w:val="both"/>
        <w:rPr>
          <w:rFonts w:eastAsia="Batang"/>
          <w:color w:val="000000"/>
          <w:szCs w:val="24"/>
        </w:rPr>
      </w:pPr>
      <w:r w:rsidRPr="005C3E39">
        <w:rPr>
          <w:rFonts w:eastAsia="Batang"/>
          <w:color w:val="000000"/>
          <w:szCs w:val="24"/>
        </w:rPr>
        <w:t>Иные резервы не формируются и не включаются в состав обязательств Фонда.</w:t>
      </w:r>
    </w:p>
    <w:p w14:paraId="1282130A"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 xml:space="preserve">Резерв на выплату вознаграждений начисляется и отражается в составе обязательств </w:t>
      </w:r>
      <w:r w:rsidR="008705DE" w:rsidRPr="005C3E39">
        <w:rPr>
          <w:rFonts w:eastAsia="Batang"/>
          <w:color w:val="000000"/>
          <w:szCs w:val="24"/>
        </w:rPr>
        <w:t xml:space="preserve">Фонда </w:t>
      </w:r>
      <w:r w:rsidRPr="005C3E39">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14:paraId="23213383" w14:textId="77777777" w:rsidR="008A6D7D" w:rsidRPr="005C3E39" w:rsidRDefault="008A6D7D" w:rsidP="0018397B">
      <w:pPr>
        <w:pStyle w:val="12"/>
        <w:numPr>
          <w:ilvl w:val="0"/>
          <w:numId w:val="7"/>
        </w:numPr>
        <w:tabs>
          <w:tab w:val="left" w:pos="993"/>
        </w:tabs>
        <w:jc w:val="both"/>
        <w:rPr>
          <w:rFonts w:eastAsia="Batang"/>
          <w:color w:val="000000"/>
          <w:szCs w:val="24"/>
        </w:rPr>
      </w:pPr>
      <w:r w:rsidRPr="005C3E39">
        <w:rPr>
          <w:rFonts w:eastAsia="Batang"/>
          <w:color w:val="000000"/>
          <w:szCs w:val="24"/>
        </w:rPr>
        <w:t xml:space="preserve">даты окончания календарного года; </w:t>
      </w:r>
    </w:p>
    <w:p w14:paraId="4BC1EA00" w14:textId="77777777" w:rsidR="008A6D7D" w:rsidRPr="005C3E39" w:rsidRDefault="008A6D7D" w:rsidP="0018397B">
      <w:pPr>
        <w:pStyle w:val="12"/>
        <w:numPr>
          <w:ilvl w:val="0"/>
          <w:numId w:val="7"/>
        </w:numPr>
        <w:tabs>
          <w:tab w:val="left" w:pos="993"/>
        </w:tabs>
        <w:jc w:val="both"/>
        <w:rPr>
          <w:rFonts w:eastAsia="Batang"/>
          <w:color w:val="000000"/>
          <w:szCs w:val="24"/>
        </w:rPr>
      </w:pPr>
      <w:r w:rsidRPr="005C3E39">
        <w:rPr>
          <w:rFonts w:eastAsia="Batang"/>
          <w:color w:val="000000"/>
          <w:szCs w:val="24"/>
        </w:rPr>
        <w:t xml:space="preserve">даты возникновения основания для прекращения </w:t>
      </w:r>
      <w:r w:rsidR="008705DE" w:rsidRPr="005C3E39">
        <w:rPr>
          <w:rFonts w:eastAsia="Batang"/>
          <w:color w:val="000000"/>
          <w:szCs w:val="24"/>
        </w:rPr>
        <w:t xml:space="preserve">Фонда </w:t>
      </w:r>
      <w:r w:rsidRPr="005C3E39">
        <w:rPr>
          <w:rFonts w:eastAsia="Batang"/>
          <w:color w:val="000000"/>
          <w:szCs w:val="24"/>
        </w:rPr>
        <w:t>(</w:t>
      </w:r>
      <w:r w:rsidR="009926E6" w:rsidRPr="005C3E39">
        <w:rPr>
          <w:rFonts w:eastAsia="Batang"/>
          <w:color w:val="000000"/>
          <w:szCs w:val="24"/>
        </w:rPr>
        <w:t xml:space="preserve">не </w:t>
      </w:r>
      <w:r w:rsidRPr="005C3E39">
        <w:rPr>
          <w:rFonts w:eastAsia="Batang"/>
          <w:color w:val="000000"/>
          <w:szCs w:val="24"/>
        </w:rPr>
        <w:t>включ</w:t>
      </w:r>
      <w:r w:rsidR="009926E6" w:rsidRPr="005C3E39">
        <w:rPr>
          <w:rFonts w:eastAsia="Batang"/>
          <w:color w:val="000000"/>
          <w:szCs w:val="24"/>
        </w:rPr>
        <w:t>ая дату возникновения основания для прекращения Фонда</w:t>
      </w:r>
      <w:r w:rsidRPr="005C3E39">
        <w:rPr>
          <w:rFonts w:eastAsia="Batang"/>
          <w:color w:val="000000"/>
          <w:szCs w:val="24"/>
        </w:rPr>
        <w:t>) в части резерва на выплату вознаграждения управляющей компании;</w:t>
      </w:r>
    </w:p>
    <w:p w14:paraId="693AF1CA" w14:textId="77777777" w:rsidR="00287F00" w:rsidRPr="005C3E39" w:rsidRDefault="00287F00" w:rsidP="0018397B">
      <w:pPr>
        <w:pStyle w:val="12"/>
        <w:numPr>
          <w:ilvl w:val="0"/>
          <w:numId w:val="7"/>
        </w:numPr>
        <w:tabs>
          <w:tab w:val="left" w:pos="993"/>
        </w:tabs>
        <w:jc w:val="both"/>
        <w:rPr>
          <w:rFonts w:eastAsia="Batang"/>
          <w:color w:val="000000"/>
          <w:szCs w:val="24"/>
        </w:rPr>
      </w:pPr>
      <w:r w:rsidRPr="005C3E39">
        <w:rPr>
          <w:rFonts w:eastAsia="Batang"/>
          <w:color w:val="000000"/>
          <w:szCs w:val="24"/>
        </w:rPr>
        <w:t>даты, предшествующей дню начала расчетов с кредиторами</w:t>
      </w:r>
      <w:r w:rsidR="008705DE" w:rsidRPr="005C3E39">
        <w:rPr>
          <w:rFonts w:eastAsia="Batang"/>
          <w:color w:val="000000"/>
          <w:szCs w:val="24"/>
        </w:rPr>
        <w:t xml:space="preserve"> первой очереди</w:t>
      </w:r>
      <w:r w:rsidRPr="005C3E39">
        <w:rPr>
          <w:rFonts w:eastAsia="Batang"/>
          <w:color w:val="000000"/>
          <w:szCs w:val="24"/>
        </w:rPr>
        <w:t xml:space="preserve"> при прекращении паевого инвестиционного фонда</w:t>
      </w:r>
      <w:r w:rsidR="00317D61" w:rsidRPr="005C3E39">
        <w:rPr>
          <w:rFonts w:eastAsia="Batang"/>
          <w:color w:val="000000"/>
          <w:szCs w:val="24"/>
        </w:rPr>
        <w:t>.</w:t>
      </w:r>
    </w:p>
    <w:p w14:paraId="155AD2E3" w14:textId="77777777" w:rsidR="008A6D7D" w:rsidRPr="005C3E39" w:rsidRDefault="008A6D7D" w:rsidP="0072342E">
      <w:pPr>
        <w:pStyle w:val="12"/>
        <w:tabs>
          <w:tab w:val="left" w:pos="993"/>
        </w:tabs>
        <w:ind w:left="360"/>
        <w:jc w:val="both"/>
        <w:rPr>
          <w:rFonts w:eastAsia="Batang"/>
          <w:color w:val="000000"/>
          <w:szCs w:val="24"/>
        </w:rPr>
      </w:pPr>
      <w:r w:rsidRPr="005C3E39">
        <w:rPr>
          <w:rFonts w:eastAsia="Batang"/>
          <w:color w:val="000000"/>
          <w:szCs w:val="24"/>
        </w:rPr>
        <w:t xml:space="preserve"> </w:t>
      </w:r>
    </w:p>
    <w:p w14:paraId="585915A5" w14:textId="77777777" w:rsidR="008A6D7D" w:rsidRPr="005C3E39" w:rsidRDefault="008A6D7D" w:rsidP="0072342E">
      <w:pPr>
        <w:pStyle w:val="12"/>
        <w:tabs>
          <w:tab w:val="left" w:pos="993"/>
        </w:tabs>
        <w:ind w:left="0"/>
        <w:jc w:val="both"/>
        <w:rPr>
          <w:iCs/>
          <w:color w:val="000000"/>
          <w:szCs w:val="24"/>
          <w:shd w:val="clear" w:color="auto" w:fill="FFFFFF"/>
        </w:rPr>
      </w:pPr>
      <w:r w:rsidRPr="005C3E39">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sidRPr="005C3E39">
        <w:rPr>
          <w:iCs/>
          <w:color w:val="000000"/>
          <w:szCs w:val="24"/>
          <w:shd w:val="clear" w:color="auto" w:fill="FFFFFF"/>
        </w:rPr>
        <w:t>Фонда</w:t>
      </w:r>
      <w:r w:rsidRPr="005C3E39">
        <w:rPr>
          <w:iCs/>
          <w:color w:val="000000"/>
          <w:szCs w:val="24"/>
          <w:shd w:val="clear" w:color="auto" w:fill="FFFFFF"/>
        </w:rPr>
        <w:t xml:space="preserve">, в течение отчетного года начисляется нарастающим </w:t>
      </w:r>
      <w:r w:rsidRPr="005C3E39">
        <w:rPr>
          <w:iCs/>
          <w:color w:val="000000"/>
          <w:szCs w:val="24"/>
          <w:shd w:val="clear" w:color="auto" w:fill="FFFFFF"/>
        </w:rPr>
        <w:lastRenderedPageBreak/>
        <w:t xml:space="preserve">итогом и отражается в составе обязательств </w:t>
      </w:r>
      <w:r w:rsidR="008705DE" w:rsidRPr="005C3E39">
        <w:rPr>
          <w:iCs/>
          <w:color w:val="000000"/>
          <w:szCs w:val="24"/>
          <w:shd w:val="clear" w:color="auto" w:fill="FFFFFF"/>
        </w:rPr>
        <w:t xml:space="preserve">Фонда </w:t>
      </w:r>
      <w:r w:rsidRPr="005C3E39">
        <w:rPr>
          <w:iCs/>
          <w:color w:val="000000"/>
          <w:szCs w:val="24"/>
          <w:shd w:val="clear" w:color="auto" w:fill="FFFFFF"/>
        </w:rPr>
        <w:t>на каждую дату определения СЧА, предусмотренную Правилами определения стоимости чистых активов.</w:t>
      </w:r>
    </w:p>
    <w:p w14:paraId="6CA04A35"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14:paraId="5C4BC957"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на первый рабочий день отчетного года:</w:t>
      </w:r>
    </w:p>
    <w:p w14:paraId="6277F2A2"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1740" w:dyaOrig="660" w14:anchorId="4DA08D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31.7pt" o:ole="">
            <v:imagedata r:id="rId8" o:title=""/>
          </v:shape>
          <o:OLEObject Type="Embed" ProgID="Equation.3" ShapeID="_x0000_i1025" DrawAspect="Content" ObjectID="_1849960571" r:id="rId9"/>
        </w:object>
      </w:r>
    </w:p>
    <w:p w14:paraId="2EA41D80"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 xml:space="preserve">где:    </w:t>
      </w:r>
    </w:p>
    <w:p w14:paraId="690C7982"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60" w:dyaOrig="360" w14:anchorId="23586DB1">
          <v:shape id="_x0000_i1026" type="#_x0000_t75" style="width:9.2pt;height:15pt" o:ole="">
            <v:imagedata r:id="rId10" o:title=""/>
          </v:shape>
          <o:OLEObject Type="Embed" ProgID="Equation.3" ShapeID="_x0000_i1026" DrawAspect="Content" ObjectID="_1849960572" r:id="rId11"/>
        </w:object>
      </w:r>
      <w:r w:rsidRPr="005C3E39">
        <w:rPr>
          <w:rFonts w:eastAsia="Batang"/>
          <w:color w:val="000000"/>
          <w:szCs w:val="24"/>
        </w:rPr>
        <w:t>- сумма начисления резерва на первый рабочий день отчетного года;</w:t>
      </w:r>
    </w:p>
    <w:p w14:paraId="1E9E7168"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60" w:dyaOrig="260" w14:anchorId="1274E463">
          <v:shape id="_x0000_i1027" type="#_x0000_t75" style="width:10.35pt;height:10.35pt" o:ole="">
            <v:imagedata r:id="rId12" o:title=""/>
          </v:shape>
          <o:OLEObject Type="Embed" ProgID="Equation.3" ShapeID="_x0000_i1027" DrawAspect="Content" ObjectID="_1849960573" r:id="rId13"/>
        </w:object>
      </w:r>
      <w:r w:rsidRPr="005C3E39">
        <w:rPr>
          <w:rFonts w:eastAsia="Batang"/>
          <w:color w:val="000000"/>
          <w:szCs w:val="24"/>
        </w:rPr>
        <w:t xml:space="preserve"> - количество рабочих дней в текущем календарном году;</w:t>
      </w:r>
    </w:p>
    <w:p w14:paraId="3F715BF4"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840" w:dyaOrig="360" w14:anchorId="296A6F93">
          <v:shape id="_x0000_i1028" type="#_x0000_t75" style="width:44.95pt;height:21.9pt" o:ole="">
            <v:imagedata r:id="rId14" o:title=""/>
          </v:shape>
          <o:OLEObject Type="Embed" ProgID="Equation.3" ShapeID="_x0000_i1028" DrawAspect="Content" ObjectID="_1849960574" r:id="rId15"/>
        </w:object>
      </w:r>
      <w:r w:rsidRPr="005C3E39">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5C3E39">
        <w:rPr>
          <w:rFonts w:eastAsia="Batang"/>
          <w:color w:val="000000"/>
          <w:szCs w:val="24"/>
        </w:rPr>
        <w:object w:dxaOrig="260" w:dyaOrig="360" w14:anchorId="73472A6C">
          <v:shape id="_x0000_i1029" type="#_x0000_t75" style="width:10.35pt;height:21.9pt" o:ole="">
            <v:imagedata r:id="rId16" o:title=""/>
          </v:shape>
          <o:OLEObject Type="Embed" ProgID="Equation.3" ShapeID="_x0000_i1029" DrawAspect="Content" ObjectID="_1849960575" r:id="rId17"/>
        </w:object>
      </w:r>
      <w:r w:rsidRPr="005C3E39">
        <w:rPr>
          <w:rFonts w:eastAsia="Batang"/>
          <w:color w:val="000000"/>
          <w:szCs w:val="24"/>
        </w:rPr>
        <w:t>, определенная с точностью до 2 – х знаков после запятой по формуле:</w:t>
      </w:r>
    </w:p>
    <w:p w14:paraId="7AE169D1" w14:textId="77777777" w:rsidR="008A6D7D" w:rsidRPr="005C3E39" w:rsidRDefault="008A6D7D" w:rsidP="0072342E">
      <w:pPr>
        <w:pStyle w:val="12"/>
        <w:tabs>
          <w:tab w:val="left" w:pos="993"/>
        </w:tabs>
        <w:ind w:left="0"/>
        <w:jc w:val="both"/>
        <w:rPr>
          <w:rFonts w:eastAsia="Batang"/>
          <w:i/>
          <w:color w:val="000000"/>
          <w:szCs w:val="24"/>
        </w:rPr>
      </w:pPr>
      <w:r w:rsidRPr="005C3E39">
        <w:rPr>
          <w:rFonts w:eastAsia="Batang"/>
          <w:i/>
          <w:color w:val="000000"/>
          <w:szCs w:val="24"/>
        </w:rPr>
        <w:object w:dxaOrig="2700" w:dyaOrig="960" w14:anchorId="0C337124">
          <v:shape id="_x0000_i1030" type="#_x0000_t75" style="width:133.65pt;height:46.65pt" o:ole="">
            <v:imagedata r:id="rId18" o:title=""/>
          </v:shape>
          <o:OLEObject Type="Embed" ProgID="Equation.3" ShapeID="_x0000_i1030" DrawAspect="Content" ObjectID="_1849960576" r:id="rId19"/>
        </w:object>
      </w:r>
    </w:p>
    <w:p w14:paraId="34A57063"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960" w:dyaOrig="340" w14:anchorId="2C8827F4">
          <v:shape id="_x0000_i1031" type="#_x0000_t75" style="width:46.65pt;height:17.85pt" o:ole="">
            <v:imagedata r:id="rId20" o:title=""/>
          </v:shape>
          <o:OLEObject Type="Embed" ProgID="Equation.3" ShapeID="_x0000_i1031" DrawAspect="Content" ObjectID="_1849960577" r:id="rId21"/>
        </w:object>
      </w:r>
      <w:r w:rsidRPr="005C3E39">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14:paraId="49D54A60"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460" w:dyaOrig="340" w14:anchorId="7E71861E">
          <v:shape id="_x0000_i1032" type="#_x0000_t75" style="width:24.2pt;height:17.85pt" o:ole="">
            <v:imagedata r:id="rId22" o:title=""/>
          </v:shape>
          <o:OLEObject Type="Embed" ProgID="Equation.3" ShapeID="_x0000_i1032" DrawAspect="Content" ObjectID="_1849960578" r:id="rId23"/>
        </w:object>
      </w:r>
      <w:r w:rsidRPr="005C3E39">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14:paraId="1693187F"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00" w:dyaOrig="220" w14:anchorId="64331BDE">
          <v:shape id="_x0000_i1033" type="#_x0000_t75" style="width:9.2pt;height:9.2pt" o:ole="">
            <v:imagedata r:id="rId24" o:title=""/>
          </v:shape>
          <o:OLEObject Type="Embed" ProgID="Equation.3" ShapeID="_x0000_i1033" DrawAspect="Content" ObjectID="_1849960579" r:id="rId25"/>
        </w:object>
      </w:r>
      <w:r w:rsidRPr="005C3E39">
        <w:rPr>
          <w:rFonts w:eastAsia="Batang"/>
          <w:color w:val="000000"/>
          <w:szCs w:val="24"/>
        </w:rPr>
        <w:t>- процентная ставка, соответствующая:</w:t>
      </w:r>
    </w:p>
    <w:p w14:paraId="241F8EE3"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460" w:dyaOrig="360" w14:anchorId="17C0EDF1">
          <v:shape id="_x0000_i1034" type="#_x0000_t75" style="width:24.2pt;height:21.9pt" o:ole="">
            <v:imagedata r:id="rId26" o:title=""/>
          </v:shape>
          <o:OLEObject Type="Embed" ProgID="Equation.3" ShapeID="_x0000_i1034" DrawAspect="Content" ObjectID="_1849960580" r:id="rId27"/>
        </w:object>
      </w:r>
      <w:r w:rsidRPr="005C3E39">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14:paraId="69B970A1"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420" w:dyaOrig="380" w14:anchorId="5F74E54E">
          <v:shape id="_x0000_i1035" type="#_x0000_t75" style="width:23.05pt;height:23.6pt" o:ole="">
            <v:imagedata r:id="rId28" o:title=""/>
          </v:shape>
          <o:OLEObject Type="Embed" ProgID="Equation.3" ShapeID="_x0000_i1035" DrawAspect="Content" ObjectID="_1849960581" r:id="rId29"/>
        </w:object>
      </w:r>
      <w:r w:rsidRPr="005C3E39">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14:paraId="0A22CC59"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79" w:dyaOrig="360" w14:anchorId="228DC85D">
          <v:shape id="_x0000_i1036" type="#_x0000_t75" style="width:15pt;height:21.9pt" o:ole="">
            <v:imagedata r:id="rId30" o:title=""/>
          </v:shape>
          <o:OLEObject Type="Embed" ProgID="Equation.3" ShapeID="_x0000_i1036" DrawAspect="Content" ObjectID="_1849960582" r:id="rId31"/>
        </w:object>
      </w:r>
      <w:r w:rsidRPr="005C3E39">
        <w:rPr>
          <w:rFonts w:eastAsia="Batang"/>
          <w:color w:val="000000"/>
          <w:szCs w:val="24"/>
        </w:rPr>
        <w:t>- каждая процентная ставка, действовавшая на первый рабочий день отчетного года</w:t>
      </w:r>
    </w:p>
    <w:p w14:paraId="74062F78"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w14:anchorId="5F8E6E67">
                <v:shape id="_x0000_i1038" type="#_x0000_t75" style="width:57pt;height:33.4pt" o:ole="">
                  <v:imagedata r:id="rId32" o:title=""/>
                </v:shape>
                <o:OLEObject Type="Embed" ProgID="Equation.3" ShapeID="_x0000_i1038" DrawAspect="Content" ObjectID="_1849960583" r:id="rId33"/>
              </w:object>
            </m:r>
          </m:e>
        </m:d>
      </m:oMath>
      <w:r w:rsidRPr="005C3E39">
        <w:rPr>
          <w:rFonts w:eastAsia="Batang"/>
          <w:color w:val="000000"/>
          <w:szCs w:val="24"/>
        </w:rPr>
        <w:t xml:space="preserve">   не округляется.</w:t>
      </w:r>
    </w:p>
    <w:p w14:paraId="2C581731"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 xml:space="preserve">Округление при расчете </w:t>
      </w:r>
      <w:r w:rsidRPr="005C3E39">
        <w:rPr>
          <w:rFonts w:eastAsia="Batang"/>
          <w:color w:val="000000"/>
          <w:szCs w:val="24"/>
        </w:rPr>
        <w:object w:dxaOrig="260" w:dyaOrig="360" w14:anchorId="724888F6">
          <v:shape id="_x0000_i1039" type="#_x0000_t75" style="width:10.35pt;height:21.9pt" o:ole="">
            <v:imagedata r:id="rId34" o:title=""/>
          </v:shape>
          <o:OLEObject Type="Embed" ProgID="Equation.3" ShapeID="_x0000_i1039" DrawAspect="Content" ObjectID="_1849960584" r:id="rId35"/>
        </w:object>
      </w:r>
      <w:r w:rsidRPr="005C3E39">
        <w:rPr>
          <w:rFonts w:eastAsia="Batang"/>
          <w:color w:val="000000"/>
          <w:szCs w:val="24"/>
        </w:rPr>
        <w:t xml:space="preserve"> и </w:t>
      </w:r>
      <w:r w:rsidRPr="005C3E39">
        <w:rPr>
          <w:rFonts w:eastAsia="Batang"/>
          <w:color w:val="000000"/>
          <w:szCs w:val="24"/>
        </w:rPr>
        <w:object w:dxaOrig="840" w:dyaOrig="360" w14:anchorId="63BB2F2A">
          <v:shape id="_x0000_i1040" type="#_x0000_t75" style="width:44.95pt;height:21.9pt" o:ole="">
            <v:imagedata r:id="rId36" o:title=""/>
          </v:shape>
          <o:OLEObject Type="Embed" ProgID="Equation.3" ShapeID="_x0000_i1040" DrawAspect="Content" ObjectID="_1849960585" r:id="rId37"/>
        </w:object>
      </w:r>
      <w:r w:rsidRPr="005C3E39">
        <w:rPr>
          <w:rFonts w:eastAsia="Batang"/>
          <w:color w:val="000000"/>
          <w:szCs w:val="24"/>
        </w:rPr>
        <w:t>производится на каждом действии до 2-х знаков после запятой.</w:t>
      </w:r>
    </w:p>
    <w:p w14:paraId="4A7E6B5F" w14:textId="77777777" w:rsidR="008A6D7D" w:rsidRPr="005C3E39" w:rsidRDefault="008A6D7D" w:rsidP="0072342E">
      <w:pPr>
        <w:pStyle w:val="12"/>
        <w:tabs>
          <w:tab w:val="left" w:pos="993"/>
        </w:tabs>
        <w:ind w:left="0"/>
        <w:jc w:val="both"/>
        <w:rPr>
          <w:rFonts w:eastAsia="Batang"/>
          <w:color w:val="000000"/>
          <w:szCs w:val="24"/>
        </w:rPr>
      </w:pPr>
    </w:p>
    <w:p w14:paraId="6EE9FAAB"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на другие дни определения СЧА (за исключением первого рабочего дня отчетного года):</w:t>
      </w:r>
    </w:p>
    <w:p w14:paraId="21426630"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4480" w:dyaOrig="1020" w14:anchorId="1F0D4A62">
          <v:shape id="_x0000_i1041" type="#_x0000_t75" style="width:222.35pt;height:50.1pt" o:ole="">
            <v:imagedata r:id="rId38" o:title=""/>
          </v:shape>
          <o:OLEObject Type="Embed" ProgID="Equation.3" ShapeID="_x0000_i1041" DrawAspect="Content" ObjectID="_1849960586" r:id="rId39"/>
        </w:object>
      </w:r>
    </w:p>
    <w:p w14:paraId="0B5700DA" w14:textId="77777777" w:rsidR="008A6D7D" w:rsidRPr="005C3E39" w:rsidRDefault="008A6D7D" w:rsidP="0072342E">
      <w:pPr>
        <w:pStyle w:val="12"/>
        <w:tabs>
          <w:tab w:val="left" w:pos="993"/>
        </w:tabs>
        <w:ind w:left="0"/>
        <w:jc w:val="both"/>
        <w:rPr>
          <w:rFonts w:eastAsia="Batang"/>
          <w:color w:val="000000"/>
          <w:szCs w:val="24"/>
        </w:rPr>
      </w:pPr>
    </w:p>
    <w:p w14:paraId="23C874A1"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где:</w:t>
      </w:r>
    </w:p>
    <w:p w14:paraId="5C2EF843"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k – порядковый номер каждого начисления резерва в отчетном году, принимающий значения от 1 до i. k=i – порядковый номер последнего (текущего) начисления резерва;</w:t>
      </w:r>
    </w:p>
    <w:p w14:paraId="10F70FE3"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79" w:dyaOrig="360" w14:anchorId="5BEB4932">
          <v:shape id="_x0000_i1042" type="#_x0000_t75" style="width:15pt;height:21.9pt" o:ole="">
            <v:imagedata r:id="rId40" o:title=""/>
          </v:shape>
          <o:OLEObject Type="Embed" ProgID="Equation.3" ShapeID="_x0000_i1042" DrawAspect="Content" ObjectID="_1849960587" r:id="rId41"/>
        </w:object>
      </w:r>
      <w:r w:rsidRPr="005C3E39">
        <w:rPr>
          <w:rFonts w:eastAsia="Batang"/>
          <w:color w:val="000000"/>
          <w:szCs w:val="24"/>
        </w:rPr>
        <w:t xml:space="preserve">- сумма каждого произведенного в текущем отчетном году начисления резерва;     </w:t>
      </w:r>
    </w:p>
    <w:p w14:paraId="7129405E"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60" w:dyaOrig="360" w14:anchorId="6C63FAD2">
          <v:shape id="_x0000_i1043" type="#_x0000_t75" style="width:10.35pt;height:21.9pt" o:ole="">
            <v:imagedata r:id="rId42" o:title=""/>
          </v:shape>
          <o:OLEObject Type="Embed" ProgID="Equation.3" ShapeID="_x0000_i1043" DrawAspect="Content" ObjectID="_1849960588" r:id="rId43"/>
        </w:object>
      </w:r>
      <w:r w:rsidRPr="005C3E39">
        <w:rPr>
          <w:rFonts w:eastAsia="Batang"/>
          <w:color w:val="000000"/>
          <w:szCs w:val="24"/>
        </w:rPr>
        <w:t>- сумма очередного (текущего) начисления резерва в текущем отчетном году;</w:t>
      </w:r>
    </w:p>
    <w:p w14:paraId="56974C3C"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60" w:dyaOrig="260" w14:anchorId="529A4D90">
          <v:shape id="_x0000_i1044" type="#_x0000_t75" style="width:10.35pt;height:10.35pt" o:ole="">
            <v:imagedata r:id="rId12" o:title=""/>
          </v:shape>
          <o:OLEObject Type="Embed" ProgID="Equation.3" ShapeID="_x0000_i1044" DrawAspect="Content" ObjectID="_1849960589" r:id="rId44"/>
        </w:object>
      </w:r>
      <w:r w:rsidRPr="005C3E39">
        <w:rPr>
          <w:rFonts w:eastAsia="Batang"/>
          <w:color w:val="000000"/>
          <w:szCs w:val="24"/>
        </w:rPr>
        <w:t xml:space="preserve"> - количество рабочих дней в текущем календарном году;</w:t>
      </w:r>
    </w:p>
    <w:p w14:paraId="05547DD4"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60" w:dyaOrig="360" w14:anchorId="049E7026">
          <v:shape id="_x0000_i1045" type="#_x0000_t75" style="width:10.35pt;height:21.9pt" o:ole="">
            <v:imagedata r:id="rId45" o:title=""/>
          </v:shape>
          <o:OLEObject Type="Embed" ProgID="Equation.3" ShapeID="_x0000_i1045" DrawAspect="Content" ObjectID="_1849960590" r:id="rId46"/>
        </w:object>
      </w:r>
      <w:r w:rsidRPr="005C3E39">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5C3E39">
        <w:rPr>
          <w:rFonts w:eastAsia="Batang"/>
          <w:color w:val="000000"/>
          <w:szCs w:val="24"/>
        </w:rPr>
        <w:object w:dxaOrig="260" w:dyaOrig="360" w14:anchorId="4D410552">
          <v:shape id="_x0000_i1046" type="#_x0000_t75" style="width:10.35pt;height:21.9pt" o:ole="">
            <v:imagedata r:id="rId42" o:title=""/>
          </v:shape>
          <o:OLEObject Type="Embed" ProgID="Equation.3" ShapeID="_x0000_i1046" DrawAspect="Content" ObjectID="_1849960591" r:id="rId47"/>
        </w:object>
      </w:r>
      <w:r w:rsidRPr="005C3E39">
        <w:rPr>
          <w:rFonts w:eastAsia="Batang"/>
          <w:color w:val="000000"/>
          <w:szCs w:val="24"/>
        </w:rPr>
        <w:t xml:space="preserve">; </w:t>
      </w:r>
    </w:p>
    <w:p w14:paraId="156BF44D"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 xml:space="preserve">t – порядковый номер рабочего дня, принадлежащего периоду, за который определено  </w:t>
      </w:r>
      <w:r w:rsidRPr="005C3E39">
        <w:rPr>
          <w:rFonts w:eastAsia="Batang"/>
          <w:color w:val="000000"/>
          <w:szCs w:val="24"/>
        </w:rPr>
        <w:object w:dxaOrig="260" w:dyaOrig="360" w14:anchorId="5275F860">
          <v:shape id="_x0000_i1047" type="#_x0000_t75" style="width:10.35pt;height:21.9pt" o:ole="">
            <v:imagedata r:id="rId45" o:title=""/>
          </v:shape>
          <o:OLEObject Type="Embed" ProgID="Equation.3" ShapeID="_x0000_i1047" DrawAspect="Content" ObjectID="_1849960592" r:id="rId48"/>
        </w:object>
      </w:r>
      <w:r w:rsidRPr="005C3E39">
        <w:rPr>
          <w:rFonts w:eastAsia="Batang"/>
          <w:color w:val="000000"/>
          <w:szCs w:val="24"/>
        </w:rPr>
        <w:t xml:space="preserve">, принимающий значения от 1 до d. t=d – порядковый номер рабочего дня начисления резерва </w:t>
      </w:r>
      <w:r w:rsidRPr="005C3E39">
        <w:rPr>
          <w:rFonts w:eastAsia="Batang"/>
          <w:color w:val="000000"/>
          <w:szCs w:val="24"/>
        </w:rPr>
        <w:object w:dxaOrig="260" w:dyaOrig="360" w14:anchorId="12C64FB2">
          <v:shape id="_x0000_i1048" type="#_x0000_t75" style="width:10.35pt;height:21.9pt" o:ole="">
            <v:imagedata r:id="rId42" o:title=""/>
          </v:shape>
          <o:OLEObject Type="Embed" ProgID="Equation.3" ShapeID="_x0000_i1048" DrawAspect="Content" ObjectID="_1849960593" r:id="rId49"/>
        </w:object>
      </w:r>
      <w:r w:rsidRPr="005C3E39">
        <w:rPr>
          <w:rFonts w:eastAsia="Batang"/>
          <w:color w:val="000000"/>
          <w:szCs w:val="24"/>
        </w:rPr>
        <w:t>;</w:t>
      </w:r>
    </w:p>
    <w:p w14:paraId="6987EFFB"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580" w:dyaOrig="360" w14:anchorId="5CEC2AD1">
          <v:shape id="_x0000_i1049" type="#_x0000_t75" style="width:29.95pt;height:21.9pt" o:ole="">
            <v:imagedata r:id="rId50" o:title=""/>
          </v:shape>
          <o:OLEObject Type="Embed" ProgID="Equation.3" ShapeID="_x0000_i1049" DrawAspect="Content" ObjectID="_1849960594" r:id="rId51"/>
        </w:object>
      </w:r>
      <w:r w:rsidRPr="005C3E39">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14:paraId="1F0E715D"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840" w:dyaOrig="380" w14:anchorId="6B3374E1">
          <v:shape id="_x0000_i1050" type="#_x0000_t75" style="width:44.95pt;height:15pt" o:ole="">
            <v:imagedata r:id="rId52" o:title=""/>
          </v:shape>
          <o:OLEObject Type="Embed" ProgID="Equation.3" ShapeID="_x0000_i1050" DrawAspect="Content" ObjectID="_1849960595" r:id="rId53"/>
        </w:object>
      </w:r>
      <w:r w:rsidRPr="005C3E39">
        <w:rPr>
          <w:rFonts w:eastAsia="Batang"/>
          <w:color w:val="000000"/>
          <w:szCs w:val="24"/>
        </w:rPr>
        <w:t xml:space="preserve">- расчетная (промежуточная) величина СЧА на дату d, в которой начисляется резерв </w:t>
      </w:r>
      <w:r w:rsidRPr="005C3E39">
        <w:rPr>
          <w:rFonts w:eastAsia="Batang"/>
          <w:color w:val="000000"/>
          <w:szCs w:val="24"/>
        </w:rPr>
        <w:object w:dxaOrig="260" w:dyaOrig="360" w14:anchorId="3017DD97">
          <v:shape id="_x0000_i1051" type="#_x0000_t75" style="width:10.35pt;height:21.9pt" o:ole="">
            <v:imagedata r:id="rId42" o:title=""/>
          </v:shape>
          <o:OLEObject Type="Embed" ProgID="Equation.3" ShapeID="_x0000_i1051" DrawAspect="Content" ObjectID="_1849960596" r:id="rId54"/>
        </w:object>
      </w:r>
      <w:r w:rsidRPr="005C3E39">
        <w:rPr>
          <w:rFonts w:eastAsia="Batang"/>
          <w:color w:val="000000"/>
          <w:szCs w:val="24"/>
        </w:rPr>
        <w:t>, определенная с точностью до 2-х знаков после запятой по формуле:</w:t>
      </w:r>
    </w:p>
    <w:p w14:paraId="081FB5F6" w14:textId="77777777" w:rsidR="008A6D7D" w:rsidRPr="005C3E39" w:rsidRDefault="008A6D7D" w:rsidP="0072342E">
      <w:pPr>
        <w:pStyle w:val="12"/>
        <w:tabs>
          <w:tab w:val="left" w:pos="993"/>
        </w:tabs>
        <w:ind w:left="0"/>
        <w:jc w:val="both"/>
        <w:rPr>
          <w:rFonts w:eastAsia="Batang"/>
          <w:color w:val="000000"/>
          <w:szCs w:val="24"/>
        </w:rPr>
      </w:pPr>
    </w:p>
    <w:p w14:paraId="4394422F"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7680" w:dyaOrig="2640" w14:anchorId="1E9CBB74">
          <v:shape id="_x0000_i1052" type="#_x0000_t75" style="width:380.75pt;height:131.35pt" o:ole="">
            <v:imagedata r:id="rId55" o:title=""/>
          </v:shape>
          <o:OLEObject Type="Embed" ProgID="Equation.3" ShapeID="_x0000_i1052" DrawAspect="Content" ObjectID="_1849960597" r:id="rId56"/>
        </w:object>
      </w:r>
      <w:r w:rsidRPr="005C3E39">
        <w:rPr>
          <w:rFonts w:eastAsia="Batang"/>
          <w:color w:val="000000"/>
          <w:szCs w:val="24"/>
        </w:rPr>
        <w:t>;</w:t>
      </w:r>
    </w:p>
    <w:p w14:paraId="29BBD82C"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999" w:dyaOrig="360" w14:anchorId="7DD0238F">
          <v:shape id="_x0000_i1053" type="#_x0000_t75" style="width:50.1pt;height:21.9pt" o:ole="">
            <v:imagedata r:id="rId57" o:title=""/>
          </v:shape>
          <o:OLEObject Type="Embed" ProgID="Equation.3" ShapeID="_x0000_i1053" DrawAspect="Content" ObjectID="_1849960598" r:id="rId58"/>
        </w:object>
      </w:r>
      <w:r w:rsidRPr="005C3E39">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14:paraId="2660D452"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520" w:dyaOrig="360" w14:anchorId="34F11DA9">
          <v:shape id="_x0000_i1054" type="#_x0000_t75" style="width:23.05pt;height:21.9pt" o:ole="">
            <v:imagedata r:id="rId59" o:title=""/>
          </v:shape>
          <o:OLEObject Type="Embed" ProgID="Equation.3" ShapeID="_x0000_i1054" DrawAspect="Content" ObjectID="_1849960599" r:id="rId60"/>
        </w:object>
      </w:r>
      <w:r w:rsidRPr="005C3E39">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14:paraId="6BBE1A70"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600" w:dyaOrig="680" w14:anchorId="210BA7D9">
          <v:shape id="_x0000_i1055" type="#_x0000_t75" style="width:29.95pt;height:33.4pt" o:ole="">
            <v:imagedata r:id="rId61" o:title=""/>
          </v:shape>
          <o:OLEObject Type="Embed" ProgID="Equation.3" ShapeID="_x0000_i1055" DrawAspect="Content" ObjectID="_1849960600" r:id="rId62"/>
        </w:object>
      </w:r>
      <w:r w:rsidRPr="005C3E39">
        <w:rPr>
          <w:rFonts w:eastAsia="Batang"/>
          <w:color w:val="000000"/>
          <w:szCs w:val="24"/>
        </w:rPr>
        <w:t>- общая сумма резервов на выплату вознаграждения, начисленных с начала года до даты d.</w:t>
      </w:r>
    </w:p>
    <w:p w14:paraId="770933EB"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00" w:dyaOrig="220" w14:anchorId="5733064C">
          <v:shape id="_x0000_i1056" type="#_x0000_t75" style="width:9.2pt;height:9.2pt" o:ole="">
            <v:imagedata r:id="rId24" o:title=""/>
          </v:shape>
          <o:OLEObject Type="Embed" ProgID="Equation.3" ShapeID="_x0000_i1056" DrawAspect="Content" ObjectID="_1849960601" r:id="rId63"/>
        </w:object>
      </w:r>
      <w:r w:rsidRPr="005C3E39">
        <w:rPr>
          <w:rFonts w:eastAsia="Batang"/>
          <w:color w:val="000000"/>
          <w:szCs w:val="24"/>
        </w:rPr>
        <w:t>- процентная ставка, соответствующая:</w:t>
      </w:r>
    </w:p>
    <w:p w14:paraId="3719BAAE"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460" w:dyaOrig="360" w14:anchorId="5B8582F9">
          <v:shape id="_x0000_i1057" type="#_x0000_t75" style="width:24.2pt;height:21.9pt" o:ole="">
            <v:imagedata r:id="rId26" o:title=""/>
          </v:shape>
          <o:OLEObject Type="Embed" ProgID="Equation.3" ShapeID="_x0000_i1057" DrawAspect="Content" ObjectID="_1849960602" r:id="rId64"/>
        </w:object>
      </w:r>
      <w:r w:rsidRPr="005C3E39">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5C3E39">
        <w:rPr>
          <w:rFonts w:eastAsia="Batang"/>
          <w:color w:val="000000"/>
          <w:szCs w:val="24"/>
        </w:rPr>
        <w:object w:dxaOrig="260" w:dyaOrig="360" w14:anchorId="2BFE83D8">
          <v:shape id="_x0000_i1058" type="#_x0000_t75" style="width:10.35pt;height:21.9pt" o:ole="">
            <v:imagedata r:id="rId45" o:title=""/>
          </v:shape>
          <o:OLEObject Type="Embed" ProgID="Equation.3" ShapeID="_x0000_i1058" DrawAspect="Content" ObjectID="_1849960603" r:id="rId65"/>
        </w:object>
      </w:r>
      <w:r w:rsidRPr="005C3E39">
        <w:rPr>
          <w:rFonts w:eastAsia="Batang"/>
          <w:color w:val="000000"/>
          <w:szCs w:val="24"/>
        </w:rPr>
        <w:t>;</w:t>
      </w:r>
    </w:p>
    <w:p w14:paraId="711B65DF"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420" w:dyaOrig="380" w14:anchorId="5E14B2D5">
          <v:shape id="_x0000_i1059" type="#_x0000_t75" style="width:23.05pt;height:23.6pt" o:ole="">
            <v:imagedata r:id="rId28" o:title=""/>
          </v:shape>
          <o:OLEObject Type="Embed" ProgID="Equation.3" ShapeID="_x0000_i1059" DrawAspect="Content" ObjectID="_1849960604" r:id="rId66"/>
        </w:object>
      </w:r>
      <w:r w:rsidRPr="005C3E39">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sidRPr="005C3E39">
        <w:rPr>
          <w:rFonts w:eastAsia="Batang"/>
          <w:color w:val="000000"/>
          <w:szCs w:val="24"/>
        </w:rPr>
        <w:t xml:space="preserve">Фонда </w:t>
      </w:r>
      <w:r w:rsidRPr="005C3E39">
        <w:rPr>
          <w:rFonts w:eastAsia="Batang"/>
          <w:color w:val="000000"/>
          <w:szCs w:val="24"/>
        </w:rPr>
        <w:t xml:space="preserve">(в долях), действующий в течение периода </w:t>
      </w:r>
      <w:r w:rsidRPr="005C3E39">
        <w:rPr>
          <w:rFonts w:eastAsia="Batang"/>
          <w:color w:val="000000"/>
          <w:szCs w:val="24"/>
        </w:rPr>
        <w:object w:dxaOrig="260" w:dyaOrig="360" w14:anchorId="5B1D8C83">
          <v:shape id="_x0000_i1060" type="#_x0000_t75" style="width:10.35pt;height:21.9pt" o:ole="">
            <v:imagedata r:id="rId45" o:title=""/>
          </v:shape>
          <o:OLEObject Type="Embed" ProgID="Equation.3" ShapeID="_x0000_i1060" DrawAspect="Content" ObjectID="_1849960605" r:id="rId67"/>
        </w:object>
      </w:r>
      <w:r w:rsidRPr="005C3E39">
        <w:rPr>
          <w:rFonts w:eastAsia="Batang"/>
          <w:color w:val="000000"/>
          <w:szCs w:val="24"/>
        </w:rPr>
        <w:t>;</w:t>
      </w:r>
    </w:p>
    <w:p w14:paraId="432012D9"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N – кол-во ставок, действовавших в отчетному году;</w:t>
      </w:r>
    </w:p>
    <w:p w14:paraId="407FEBF8"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279" w:dyaOrig="360" w14:anchorId="17A47674">
          <v:shape id="_x0000_i1061" type="#_x0000_t75" style="width:15pt;height:21.9pt" o:ole="">
            <v:imagedata r:id="rId30" o:title=""/>
          </v:shape>
          <o:OLEObject Type="Embed" ProgID="Equation.3" ShapeID="_x0000_i1061" DrawAspect="Content" ObjectID="_1849960606" r:id="rId68"/>
        </w:object>
      </w:r>
      <w:r w:rsidRPr="005C3E39">
        <w:rPr>
          <w:rFonts w:eastAsia="Batang"/>
          <w:color w:val="000000"/>
          <w:szCs w:val="24"/>
        </w:rPr>
        <w:t xml:space="preserve">- каждая процентная ставка, действовавшая в течение периода </w:t>
      </w:r>
      <w:r w:rsidRPr="005C3E39">
        <w:rPr>
          <w:rFonts w:eastAsia="Batang"/>
          <w:color w:val="000000"/>
          <w:szCs w:val="24"/>
        </w:rPr>
        <w:object w:dxaOrig="260" w:dyaOrig="360" w14:anchorId="1B60F318">
          <v:shape id="_x0000_i1062" type="#_x0000_t75" style="width:10.35pt;height:21.9pt" o:ole="">
            <v:imagedata r:id="rId45" o:title=""/>
          </v:shape>
          <o:OLEObject Type="Embed" ProgID="Equation.3" ShapeID="_x0000_i1062" DrawAspect="Content" ObjectID="_1849960607" r:id="rId69"/>
        </w:object>
      </w:r>
      <w:r w:rsidRPr="005C3E39">
        <w:rPr>
          <w:rFonts w:eastAsia="Batang"/>
          <w:color w:val="000000"/>
          <w:szCs w:val="24"/>
        </w:rPr>
        <w:t>;</w:t>
      </w:r>
    </w:p>
    <w:p w14:paraId="068C5A78"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object w:dxaOrig="300" w:dyaOrig="360" w14:anchorId="715AA6F9">
          <v:shape id="_x0000_i1063" type="#_x0000_t75" style="width:15pt;height:21.9pt" o:ole="">
            <v:imagedata r:id="rId70" o:title=""/>
          </v:shape>
          <o:OLEObject Type="Embed" ProgID="Equation.3" ShapeID="_x0000_i1063" DrawAspect="Content" ObjectID="_1849960608" r:id="rId71"/>
        </w:object>
      </w:r>
      <w:r w:rsidRPr="005C3E39">
        <w:rPr>
          <w:rFonts w:eastAsia="Batang"/>
          <w:color w:val="000000"/>
          <w:szCs w:val="24"/>
        </w:rPr>
        <w:t xml:space="preserve">- количество рабочих дней периода, в котором действовала ставка </w:t>
      </w:r>
      <w:r w:rsidRPr="005C3E39">
        <w:rPr>
          <w:rFonts w:eastAsia="Batang"/>
          <w:color w:val="000000"/>
          <w:szCs w:val="24"/>
        </w:rPr>
        <w:object w:dxaOrig="279" w:dyaOrig="360" w14:anchorId="3DC494B2">
          <v:shape id="_x0000_i1064" type="#_x0000_t75" style="width:15pt;height:21.9pt" o:ole="">
            <v:imagedata r:id="rId30" o:title=""/>
          </v:shape>
          <o:OLEObject Type="Embed" ProgID="Equation.3" ShapeID="_x0000_i1064" DrawAspect="Content" ObjectID="_1849960609" r:id="rId72"/>
        </w:object>
      </w:r>
      <w:r w:rsidRPr="005C3E39">
        <w:rPr>
          <w:rFonts w:eastAsia="Batang"/>
          <w:color w:val="000000"/>
          <w:szCs w:val="24"/>
        </w:rPr>
        <w:t xml:space="preserve">, принадлежащее периоду </w:t>
      </w:r>
      <w:r w:rsidRPr="005C3E39">
        <w:rPr>
          <w:rFonts w:eastAsia="Batang"/>
          <w:color w:val="000000"/>
          <w:szCs w:val="24"/>
        </w:rPr>
        <w:object w:dxaOrig="260" w:dyaOrig="360" w14:anchorId="39893C6B">
          <v:shape id="_x0000_i1065" type="#_x0000_t75" style="width:10.35pt;height:21.9pt" o:ole="">
            <v:imagedata r:id="rId45" o:title=""/>
          </v:shape>
          <o:OLEObject Type="Embed" ProgID="Equation.3" ShapeID="_x0000_i1065" DrawAspect="Content" ObjectID="_1849960610" r:id="rId73"/>
        </w:object>
      </w:r>
      <w:r w:rsidRPr="005C3E39">
        <w:rPr>
          <w:rFonts w:eastAsia="Batang"/>
          <w:color w:val="000000"/>
          <w:szCs w:val="24"/>
        </w:rPr>
        <w:t xml:space="preserve">, где </w:t>
      </w:r>
      <w:r w:rsidRPr="005C3E39">
        <w:rPr>
          <w:rFonts w:eastAsia="Batang"/>
          <w:color w:val="000000"/>
          <w:szCs w:val="24"/>
        </w:rPr>
        <w:object w:dxaOrig="1040" w:dyaOrig="680" w14:anchorId="60DFA0D9">
          <v:shape id="_x0000_i1066" type="#_x0000_t75" style="width:50.1pt;height:33.4pt" o:ole="">
            <v:imagedata r:id="rId74" o:title=""/>
          </v:shape>
          <o:OLEObject Type="Embed" ProgID="Equation.3" ShapeID="_x0000_i1066" DrawAspect="Content" ObjectID="_1849960611" r:id="rId75"/>
        </w:object>
      </w:r>
      <w:r w:rsidRPr="005C3E39">
        <w:rPr>
          <w:rFonts w:eastAsia="Batang"/>
          <w:color w:val="000000"/>
          <w:szCs w:val="24"/>
        </w:rPr>
        <w:t>.</w:t>
      </w:r>
    </w:p>
    <w:p w14:paraId="51776B1C"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5C3E39">
        <w:rPr>
          <w:rFonts w:eastAsia="Batang"/>
          <w:color w:val="000000"/>
          <w:szCs w:val="24"/>
        </w:rPr>
        <w:t xml:space="preserve">; </w:t>
      </w:r>
      <m:oMath>
        <m:r>
          <m:rPr>
            <m:sty m:val="p"/>
          </m:rPr>
          <w:rPr>
            <w:rFonts w:ascii="Cambria Math" w:eastAsia="Batang" w:hAnsi="Cambria Math"/>
            <w:color w:val="000000"/>
            <w:szCs w:val="24"/>
          </w:rPr>
          <w:object w:dxaOrig="2697" w:dyaOrig="1300" w14:anchorId="7E2A85B6">
            <v:shape id="_x0000_i1067" type="#_x0000_t75" style="width:135.35pt;height:67.4pt" o:ole="">
              <v:imagedata r:id="rId76" o:title=""/>
            </v:shape>
            <o:OLEObject Type="Embed" ProgID="Equation.3" ShapeID="_x0000_i1067" DrawAspect="Content" ObjectID="_1849960612" r:id="rId77"/>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w14:anchorId="6111C17E">
                <v:shape id="_x0000_i1069" type="#_x0000_t75" style="width:135.95pt;height:62.8pt" o:ole="">
                  <v:imagedata r:id="rId78" o:title=""/>
                </v:shape>
                <o:OLEObject Type="Embed" ProgID="Equation.3" ShapeID="_x0000_i1069" DrawAspect="Content" ObjectID="_1849960613" r:id="rId79"/>
              </w:object>
            </m:r>
          </m:e>
        </m:d>
      </m:oMath>
      <w:r w:rsidRPr="005C3E39">
        <w:rPr>
          <w:rFonts w:eastAsia="Batang"/>
          <w:color w:val="000000"/>
          <w:szCs w:val="24"/>
        </w:rPr>
        <w:t xml:space="preserve">               не округляются.</w:t>
      </w:r>
    </w:p>
    <w:p w14:paraId="6D54EFE1"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ab/>
      </w:r>
      <w:r w:rsidRPr="005C3E39">
        <w:rPr>
          <w:rFonts w:eastAsia="Batang"/>
          <w:color w:val="000000"/>
          <w:szCs w:val="24"/>
        </w:rPr>
        <w:tab/>
        <w:t xml:space="preserve">Округление при расчете </w:t>
      </w:r>
      <w:r w:rsidRPr="005C3E39">
        <w:rPr>
          <w:rFonts w:eastAsia="Batang"/>
          <w:color w:val="000000"/>
          <w:szCs w:val="24"/>
        </w:rPr>
        <w:object w:dxaOrig="260" w:dyaOrig="360" w14:anchorId="20E5DFA5">
          <v:shape id="_x0000_i1070" type="#_x0000_t75" style="width:10.35pt;height:21.9pt" o:ole="">
            <v:imagedata r:id="rId42" o:title=""/>
          </v:shape>
          <o:OLEObject Type="Embed" ProgID="Equation.3" ShapeID="_x0000_i1070" DrawAspect="Content" ObjectID="_1849960614" r:id="rId80"/>
        </w:object>
      </w:r>
      <w:r w:rsidRPr="005C3E39">
        <w:rPr>
          <w:rFonts w:eastAsia="Batang"/>
          <w:color w:val="000000"/>
          <w:szCs w:val="24"/>
        </w:rPr>
        <w:t xml:space="preserve"> и </w:t>
      </w:r>
      <w:r w:rsidRPr="005C3E39">
        <w:rPr>
          <w:rFonts w:eastAsia="Batang"/>
          <w:color w:val="000000"/>
          <w:szCs w:val="24"/>
        </w:rPr>
        <w:object w:dxaOrig="840" w:dyaOrig="380" w14:anchorId="2DC18805">
          <v:shape id="_x0000_i1071" type="#_x0000_t75" style="width:44.95pt;height:15pt" o:ole="">
            <v:imagedata r:id="rId52" o:title=""/>
          </v:shape>
          <o:OLEObject Type="Embed" ProgID="Equation.3" ShapeID="_x0000_i1071" DrawAspect="Content" ObjectID="_1849960615" r:id="rId81"/>
        </w:object>
      </w:r>
      <w:r w:rsidRPr="005C3E39">
        <w:rPr>
          <w:rFonts w:eastAsia="Batang"/>
          <w:color w:val="000000"/>
          <w:szCs w:val="24"/>
        </w:rPr>
        <w:t>производится на каждом действии до 2-х знаков после запятой.</w:t>
      </w:r>
    </w:p>
    <w:p w14:paraId="6E837B5A"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14:paraId="45202C33" w14:textId="77777777" w:rsidR="008A6D7D" w:rsidRPr="005C3E39" w:rsidRDefault="008A6D7D" w:rsidP="0072342E">
      <w:pPr>
        <w:pStyle w:val="12"/>
        <w:tabs>
          <w:tab w:val="left" w:pos="993"/>
        </w:tabs>
        <w:ind w:left="0"/>
        <w:jc w:val="both"/>
        <w:rPr>
          <w:rFonts w:eastAsia="Batang"/>
          <w:color w:val="000000"/>
          <w:szCs w:val="24"/>
        </w:rPr>
      </w:pPr>
      <w:r w:rsidRPr="005C3E39">
        <w:rPr>
          <w:rFonts w:eastAsia="Batang"/>
          <w:color w:val="000000"/>
          <w:szCs w:val="24"/>
        </w:rPr>
        <w:t>Не использованный в течение отчетного года резерв на выплату вознаграждения подлежит восстановлению по окончанию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14:paraId="7E4C67C8" w14:textId="77777777" w:rsidR="00B87E8F" w:rsidRPr="005C3E39" w:rsidRDefault="00B87E8F" w:rsidP="00B87E8F">
      <w:pPr>
        <w:autoSpaceDE w:val="0"/>
        <w:autoSpaceDN w:val="0"/>
        <w:adjustRightInd w:val="0"/>
        <w:jc w:val="both"/>
        <w:rPr>
          <w:rFonts w:eastAsia="Calibri"/>
          <w:szCs w:val="24"/>
        </w:rPr>
      </w:pPr>
      <w:r w:rsidRPr="005C3E39">
        <w:rPr>
          <w:rFonts w:eastAsia="Calibri"/>
          <w:szCs w:val="24"/>
        </w:rPr>
        <w:t>В состав обязательств не включается резерв на выплату вознаграждения, размер которого зависит от результатов инвестирования.</w:t>
      </w:r>
    </w:p>
    <w:p w14:paraId="543659E4" w14:textId="77777777" w:rsidR="00461309" w:rsidRPr="005C3E39" w:rsidRDefault="00432D61" w:rsidP="00461309">
      <w:pPr>
        <w:pStyle w:val="10"/>
        <w:rPr>
          <w:b/>
        </w:rPr>
      </w:pPr>
      <w:bookmarkStart w:id="5" w:name="_Toc66447215"/>
      <w:bookmarkStart w:id="6" w:name="_Toc74043295"/>
      <w:r w:rsidRPr="005C3E39">
        <w:br w:type="page"/>
      </w:r>
      <w:r w:rsidR="00461309" w:rsidRPr="005C3E39">
        <w:rPr>
          <w:b/>
        </w:rPr>
        <w:lastRenderedPageBreak/>
        <w:t>Критерии признания, прекращения признания и методы определения стоимости активов и обязательств.</w:t>
      </w:r>
    </w:p>
    <w:p w14:paraId="442371F2" w14:textId="77777777" w:rsidR="00461309" w:rsidRPr="005C3E39" w:rsidRDefault="00461309" w:rsidP="00461309">
      <w:pPr>
        <w:pStyle w:val="a1"/>
        <w:numPr>
          <w:ilvl w:val="0"/>
          <w:numId w:val="0"/>
        </w:numPr>
        <w:ind w:left="426"/>
        <w:rPr>
          <w:b/>
        </w:rPr>
      </w:pPr>
    </w:p>
    <w:p w14:paraId="1ED71CE5" w14:textId="77777777" w:rsidR="00461309" w:rsidRPr="005C3E39" w:rsidRDefault="00461309" w:rsidP="00461309">
      <w:pPr>
        <w:pStyle w:val="a7"/>
        <w:numPr>
          <w:ilvl w:val="0"/>
          <w:numId w:val="2"/>
        </w:numPr>
        <w:autoSpaceDE w:val="0"/>
        <w:autoSpaceDN w:val="0"/>
        <w:adjustRightInd w:val="0"/>
        <w:spacing w:after="0" w:line="240" w:lineRule="auto"/>
        <w:jc w:val="both"/>
        <w:rPr>
          <w:rFonts w:ascii="Times New Roman" w:hAnsi="Times New Roman"/>
          <w:vanish/>
          <w:sz w:val="24"/>
          <w:szCs w:val="24"/>
        </w:rPr>
      </w:pPr>
    </w:p>
    <w:p w14:paraId="3D7C37B6" w14:textId="34BBE810" w:rsidR="00577C5E" w:rsidRPr="005C3E39" w:rsidRDefault="00461309" w:rsidP="00461309">
      <w:pPr>
        <w:pStyle w:val="a1"/>
        <w:numPr>
          <w:ilvl w:val="0"/>
          <w:numId w:val="0"/>
        </w:numPr>
        <w:ind w:left="426"/>
        <w:rPr>
          <w:b/>
          <w:u w:val="single"/>
        </w:rPr>
      </w:pPr>
      <w:r w:rsidRPr="005C3E39">
        <w:rPr>
          <w:b/>
        </w:rPr>
        <w:t xml:space="preserve">     </w:t>
      </w:r>
      <w:r w:rsidR="00577C5E" w:rsidRPr="005C3E39">
        <w:rPr>
          <w:b/>
          <w:u w:val="single"/>
        </w:rPr>
        <w:t>Общие положения</w:t>
      </w:r>
    </w:p>
    <w:p w14:paraId="617215A2" w14:textId="77777777" w:rsidR="00461309" w:rsidRPr="005C3E39" w:rsidRDefault="00461309" w:rsidP="00461309">
      <w:pPr>
        <w:pStyle w:val="a1"/>
        <w:numPr>
          <w:ilvl w:val="0"/>
          <w:numId w:val="0"/>
        </w:numPr>
        <w:ind w:left="426"/>
      </w:pPr>
      <w:r w:rsidRPr="005C3E39">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14:paraId="70B4E3DB" w14:textId="77777777" w:rsidR="00461309" w:rsidRPr="005C3E39" w:rsidRDefault="00461309" w:rsidP="00461309">
      <w:pPr>
        <w:pStyle w:val="a1"/>
        <w:numPr>
          <w:ilvl w:val="0"/>
          <w:numId w:val="0"/>
        </w:numPr>
        <w:ind w:left="426"/>
      </w:pPr>
      <w:r w:rsidRPr="005C3E39">
        <w:t xml:space="preserve">             Критерии признания (прекращения признания) активов (обязательств) в учете Фонда с целью отражения в стоимости чистых активов представлены в соответствующих разделах по видам активов настоящих Правил СЧА. </w:t>
      </w:r>
    </w:p>
    <w:p w14:paraId="669639FF" w14:textId="77777777" w:rsidR="00461309" w:rsidRPr="005C3E39" w:rsidRDefault="00461309" w:rsidP="00461309">
      <w:pPr>
        <w:pStyle w:val="a7"/>
        <w:numPr>
          <w:ilvl w:val="0"/>
          <w:numId w:val="2"/>
        </w:numPr>
        <w:spacing w:after="0" w:line="240" w:lineRule="auto"/>
        <w:jc w:val="both"/>
        <w:rPr>
          <w:rFonts w:ascii="Times New Roman" w:hAnsi="Times New Roman"/>
          <w:vanish/>
          <w:sz w:val="24"/>
          <w:szCs w:val="24"/>
        </w:rPr>
      </w:pPr>
    </w:p>
    <w:p w14:paraId="2C3BEC24" w14:textId="77777777" w:rsidR="00461309" w:rsidRPr="005C3E39" w:rsidRDefault="00461309" w:rsidP="00461309">
      <w:pPr>
        <w:pStyle w:val="a1"/>
        <w:numPr>
          <w:ilvl w:val="0"/>
          <w:numId w:val="0"/>
        </w:numPr>
        <w:ind w:left="426"/>
      </w:pPr>
      <w:r w:rsidRPr="005C3E39">
        <w:t xml:space="preserve">            Стоимость активов и величина обязательств Фонда определяются по справедливой стоимости в соответствии с Международным </w:t>
      </w:r>
      <w:hyperlink r:id="rId82" w:history="1">
        <w:r w:rsidRPr="005C3E39">
          <w:t>стандартом</w:t>
        </w:r>
      </w:hyperlink>
      <w:r w:rsidRPr="005C3E39">
        <w:t xml:space="preserve"> финансовой отчетности (IFRS) 13 "Оценка справедливой стоимости" 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 </w:t>
      </w:r>
    </w:p>
    <w:p w14:paraId="11DEE843" w14:textId="77777777" w:rsidR="00461309" w:rsidRPr="005C3E39" w:rsidRDefault="00461309" w:rsidP="00461309">
      <w:pPr>
        <w:pStyle w:val="a1"/>
        <w:numPr>
          <w:ilvl w:val="0"/>
          <w:numId w:val="0"/>
        </w:numPr>
        <w:ind w:left="426"/>
      </w:pPr>
      <w:r w:rsidRPr="005C3E39">
        <w:t xml:space="preserve">                Стоимость активов определяется без учета затрат по сделке и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14:paraId="2F811B3F" w14:textId="77777777" w:rsidR="00461309" w:rsidRPr="005C3E39" w:rsidRDefault="00461309" w:rsidP="00461309">
      <w:pPr>
        <w:pStyle w:val="a1"/>
        <w:numPr>
          <w:ilvl w:val="0"/>
          <w:numId w:val="0"/>
        </w:numPr>
        <w:ind w:left="426"/>
      </w:pPr>
      <w:r w:rsidRPr="005C3E39">
        <w:t xml:space="preserve">               Оценка активов на основании отчета оценщика не производится, так как оценщик не предусмотрен Правилами доверительного управления Фонда.</w:t>
      </w:r>
    </w:p>
    <w:p w14:paraId="06FF0F9D" w14:textId="77777777" w:rsidR="00461309" w:rsidRPr="005C3E39" w:rsidRDefault="00461309" w:rsidP="00461309">
      <w:pPr>
        <w:pStyle w:val="a1"/>
        <w:numPr>
          <w:ilvl w:val="0"/>
          <w:numId w:val="0"/>
        </w:numPr>
        <w:ind w:left="426"/>
      </w:pPr>
      <w:r w:rsidRPr="005C3E39">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14:paraId="0206B7B5" w14:textId="77777777" w:rsidR="00461309" w:rsidRPr="005C3E39" w:rsidRDefault="00461309" w:rsidP="00461309">
      <w:pPr>
        <w:pStyle w:val="a1"/>
        <w:numPr>
          <w:ilvl w:val="0"/>
          <w:numId w:val="0"/>
        </w:numPr>
        <w:ind w:left="426"/>
      </w:pPr>
      <w:r w:rsidRPr="005C3E39">
        <w:t xml:space="preserve">               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14:paraId="56C23AAC" w14:textId="58DE0789" w:rsidR="00461309" w:rsidRPr="005C3E39" w:rsidRDefault="00461309" w:rsidP="00461309">
      <w:pPr>
        <w:pStyle w:val="a1"/>
        <w:numPr>
          <w:ilvl w:val="0"/>
          <w:numId w:val="0"/>
        </w:numPr>
        <w:ind w:left="426"/>
      </w:pPr>
      <w:r w:rsidRPr="005C3E39">
        <w:t>В случае, если Центральным банком Российской Федерации не установлен курс на дату определения СЧА, используется последний установленный курс.</w:t>
      </w:r>
    </w:p>
    <w:p w14:paraId="58D40B2E" w14:textId="2512C789" w:rsidR="003B3EB9" w:rsidRPr="005C3E39" w:rsidRDefault="00801923" w:rsidP="00461309">
      <w:pPr>
        <w:pStyle w:val="a1"/>
        <w:numPr>
          <w:ilvl w:val="0"/>
          <w:numId w:val="0"/>
        </w:numPr>
        <w:ind w:left="426"/>
      </w:pPr>
      <w:r w:rsidRPr="005C3E39">
        <w:t xml:space="preserve">      В случае необходимости проводится анализ и корректировка справедливой стоимости активов в соответствии с Приложением 3 настоящих Правил</w:t>
      </w:r>
    </w:p>
    <w:p w14:paraId="7451C0DC" w14:textId="77777777" w:rsidR="00461309" w:rsidRPr="005C3E39" w:rsidRDefault="00461309" w:rsidP="00461309">
      <w:pPr>
        <w:pStyle w:val="a1"/>
        <w:numPr>
          <w:ilvl w:val="0"/>
          <w:numId w:val="0"/>
        </w:numPr>
        <w:ind w:left="426"/>
      </w:pPr>
    </w:p>
    <w:p w14:paraId="7F60A9BC" w14:textId="77777777" w:rsidR="003830AE" w:rsidRPr="005C3E39" w:rsidRDefault="00BA5077" w:rsidP="00577C5E">
      <w:pPr>
        <w:pStyle w:val="a1"/>
        <w:numPr>
          <w:ilvl w:val="0"/>
          <w:numId w:val="0"/>
        </w:numPr>
        <w:ind w:left="426"/>
        <w:rPr>
          <w:b/>
          <w:u w:val="single"/>
        </w:rPr>
      </w:pPr>
      <w:bookmarkStart w:id="7" w:name="Par165"/>
      <w:bookmarkStart w:id="8" w:name="_Toc74043297"/>
      <w:bookmarkEnd w:id="5"/>
      <w:bookmarkEnd w:id="6"/>
      <w:bookmarkEnd w:id="7"/>
      <w:r w:rsidRPr="005C3E39">
        <w:rPr>
          <w:b/>
          <w:u w:val="single"/>
        </w:rPr>
        <w:t>Термины и определения:</w:t>
      </w:r>
      <w:bookmarkEnd w:id="8"/>
    </w:p>
    <w:p w14:paraId="3A5C8E34" w14:textId="77777777" w:rsidR="00E620B3" w:rsidRPr="005C3E39" w:rsidRDefault="00E620B3" w:rsidP="00577C5E">
      <w:pPr>
        <w:pStyle w:val="a1"/>
        <w:numPr>
          <w:ilvl w:val="0"/>
          <w:numId w:val="0"/>
        </w:numPr>
        <w:ind w:left="426"/>
      </w:pPr>
      <w:r w:rsidRPr="005C3E39">
        <w:rPr>
          <w:b/>
        </w:rPr>
        <w:t>Активы</w:t>
      </w:r>
      <w:r w:rsidRPr="005C3E39">
        <w:t>-денежные средства, ценные бумаги и/или иное имущество, включая имущественные права.</w:t>
      </w:r>
    </w:p>
    <w:p w14:paraId="0BC832F1" w14:textId="77777777" w:rsidR="00FA225F" w:rsidRPr="005C3E39" w:rsidRDefault="00FA225F" w:rsidP="00577C5E">
      <w:pPr>
        <w:pStyle w:val="a1"/>
        <w:numPr>
          <w:ilvl w:val="0"/>
          <w:numId w:val="0"/>
        </w:numPr>
        <w:ind w:left="426"/>
      </w:pPr>
      <w:r w:rsidRPr="005C3E39">
        <w:rPr>
          <w:b/>
        </w:rPr>
        <w:t>Стоимость чистых активов (СЧА)</w:t>
      </w:r>
      <w:r w:rsidRPr="005C3E39">
        <w:t xml:space="preserve"> – величина, определяемая в соответствии с законодательством Российской Федерации, как разница между стоимостью активов паевого инвестиционного фонда (далее - ПИФ) и величиной обязательств, подлежащих исполнению за счет указанных активов (далее – обязательства), на момент определения СЧА ПИФ.</w:t>
      </w:r>
    </w:p>
    <w:p w14:paraId="1A56F70F" w14:textId="77777777" w:rsidR="00BA5077" w:rsidRPr="005C3E39" w:rsidRDefault="00BA5077" w:rsidP="00577C5E">
      <w:pPr>
        <w:pStyle w:val="a1"/>
        <w:numPr>
          <w:ilvl w:val="0"/>
          <w:numId w:val="0"/>
        </w:numPr>
        <w:ind w:left="426"/>
      </w:pPr>
      <w:r w:rsidRPr="005C3E39">
        <w:rPr>
          <w:b/>
        </w:rPr>
        <w:t>Справедливая стоимость</w:t>
      </w:r>
      <w:r w:rsidRPr="005C3E39">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14:paraId="1550B412" w14:textId="77777777" w:rsidR="007B25F8" w:rsidRPr="005C3E39" w:rsidRDefault="007B25F8" w:rsidP="007B25F8">
      <w:pPr>
        <w:pStyle w:val="a1"/>
        <w:numPr>
          <w:ilvl w:val="0"/>
          <w:numId w:val="0"/>
        </w:numPr>
        <w:ind w:left="426"/>
      </w:pPr>
      <w:r w:rsidRPr="005C3E39">
        <w:t xml:space="preserve">          Справедливая стоимость облигаций определяется с учетом накопленного купонного дохода на дату определения СЧА. </w:t>
      </w:r>
    </w:p>
    <w:p w14:paraId="0BF5596E" w14:textId="77777777" w:rsidR="0054389B" w:rsidRPr="0054389B" w:rsidRDefault="007B25F8" w:rsidP="0054389B">
      <w:pPr>
        <w:pStyle w:val="a1"/>
        <w:numPr>
          <w:ilvl w:val="0"/>
          <w:numId w:val="0"/>
        </w:numPr>
        <w:ind w:left="426"/>
        <w:rPr>
          <w:rFonts w:eastAsia="Times New Roman"/>
        </w:rPr>
      </w:pPr>
      <w:r w:rsidRPr="005C3E39">
        <w:lastRenderedPageBreak/>
        <w:t xml:space="preserve">                Величина начисленного купонного дохода на одну облигацию на дату расчета СЧА определяются в соответствие с данными, раскрываемые Публичным акционерным обществом "Московская Биржа ММВБ-РТС", группой компаний Cbonds, информационными ресурсами AO «Интерфакс»</w:t>
      </w:r>
      <w:r w:rsidR="00B110BE" w:rsidRPr="005C3E39">
        <w:t xml:space="preserve">. </w:t>
      </w:r>
      <w:r w:rsidR="0054389B" w:rsidRPr="0054389B">
        <w:rPr>
          <w:rFonts w:eastAsia="Times New Roman"/>
        </w:rPr>
        <w:t>При этом, если по облигациям, номинал которых выражен в иностранной валюте, сумма купонного дохода  определяется ММВБ и в валюте и в  рублях, приоритетно используется купон выраженный в рублях.</w:t>
      </w:r>
    </w:p>
    <w:p w14:paraId="5418E42A" w14:textId="5E3A6B9C" w:rsidR="007B25F8" w:rsidRPr="005C3E39" w:rsidRDefault="00B110BE" w:rsidP="007B25F8">
      <w:pPr>
        <w:pStyle w:val="a1"/>
        <w:numPr>
          <w:ilvl w:val="0"/>
          <w:numId w:val="0"/>
        </w:numPr>
        <w:ind w:left="426"/>
      </w:pPr>
      <w:r w:rsidRPr="005C3E39">
        <w:t xml:space="preserve">В случае если размер купона не опубликован, то купон рассчитывается в соответствии с </w:t>
      </w:r>
      <w:r w:rsidR="00034470" w:rsidRPr="005C3E39">
        <w:t>Проспектом эмиссии (Решении о выпуске)</w:t>
      </w:r>
      <w:r w:rsidRPr="005C3E39">
        <w:t xml:space="preserve">. Округление расчетного купона происходит </w:t>
      </w:r>
      <w:r w:rsidR="00034470" w:rsidRPr="005C3E39">
        <w:t xml:space="preserve">в соответствии с правилами округления, прописанными в Проспекте эмиссии (Решении о выпуске) либо </w:t>
      </w:r>
      <w:r w:rsidR="007B25F8" w:rsidRPr="005C3E39">
        <w:t>с точностью до четырех знаков после запятой, с применением правил математического округления в валюте актива. Промежуточное округление не производится.</w:t>
      </w:r>
    </w:p>
    <w:p w14:paraId="59F5FFFD" w14:textId="77777777" w:rsidR="007B25F8" w:rsidRPr="005C3E39" w:rsidRDefault="007B25F8" w:rsidP="00577C5E">
      <w:pPr>
        <w:pStyle w:val="a1"/>
        <w:numPr>
          <w:ilvl w:val="0"/>
          <w:numId w:val="0"/>
        </w:numPr>
        <w:ind w:left="426"/>
      </w:pPr>
    </w:p>
    <w:p w14:paraId="4D6A79DB" w14:textId="77777777" w:rsidR="00BA5077" w:rsidRPr="005C3E39" w:rsidRDefault="00BA5077" w:rsidP="00577C5E">
      <w:pPr>
        <w:pStyle w:val="a1"/>
        <w:numPr>
          <w:ilvl w:val="0"/>
          <w:numId w:val="0"/>
        </w:numPr>
        <w:ind w:left="426"/>
      </w:pPr>
      <w:r w:rsidRPr="005C3E39">
        <w:rPr>
          <w:b/>
        </w:rPr>
        <w:t>Российская биржа</w:t>
      </w:r>
      <w:r w:rsidRPr="005C3E39">
        <w:t xml:space="preserve"> – российский организатор торговли на рынке ценных бумаг;</w:t>
      </w:r>
    </w:p>
    <w:p w14:paraId="08D1A473" w14:textId="77777777" w:rsidR="00BA5077" w:rsidRPr="005C3E39" w:rsidRDefault="00BA5077" w:rsidP="00577C5E">
      <w:pPr>
        <w:pStyle w:val="a1"/>
        <w:numPr>
          <w:ilvl w:val="0"/>
          <w:numId w:val="0"/>
        </w:numPr>
        <w:ind w:left="426"/>
      </w:pPr>
      <w:r w:rsidRPr="005C3E39">
        <w:rPr>
          <w:b/>
        </w:rPr>
        <w:t>Иностранная биржа</w:t>
      </w:r>
      <w:r w:rsidRPr="005C3E39">
        <w:t xml:space="preserve"> - иностранная фондовая биржа;</w:t>
      </w:r>
    </w:p>
    <w:p w14:paraId="6D9E73BE" w14:textId="77777777" w:rsidR="00BA5077" w:rsidRPr="005C3E39" w:rsidRDefault="00BA5077" w:rsidP="00577C5E">
      <w:pPr>
        <w:pStyle w:val="a1"/>
        <w:numPr>
          <w:ilvl w:val="0"/>
          <w:numId w:val="0"/>
        </w:numPr>
        <w:ind w:left="426"/>
      </w:pPr>
      <w:r w:rsidRPr="005C3E39">
        <w:rPr>
          <w:b/>
        </w:rPr>
        <w:t>Наблюдаемая и доступная биржевая площадка</w:t>
      </w:r>
      <w:r w:rsidRPr="005C3E39">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A71E53" w:rsidRPr="005C3E39">
        <w:t>4</w:t>
      </w:r>
      <w:r w:rsidRPr="005C3E39">
        <w:t>.</w:t>
      </w:r>
    </w:p>
    <w:p w14:paraId="72CB210E" w14:textId="77777777" w:rsidR="00BA5077" w:rsidRPr="005C3E39" w:rsidRDefault="00BA5077" w:rsidP="00577C5E">
      <w:pPr>
        <w:pStyle w:val="a1"/>
        <w:numPr>
          <w:ilvl w:val="0"/>
          <w:numId w:val="0"/>
        </w:numPr>
        <w:ind w:left="426"/>
      </w:pPr>
      <w:r w:rsidRPr="005C3E39">
        <w:rPr>
          <w:b/>
        </w:rPr>
        <w:t>Активный рынок</w:t>
      </w:r>
      <w:r w:rsidRPr="005C3E39">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14:paraId="75BFF89D" w14:textId="59BDB994" w:rsidR="00BA5077" w:rsidRPr="005C3E39" w:rsidRDefault="00BA5077" w:rsidP="00577C5E">
      <w:pPr>
        <w:pStyle w:val="a1"/>
        <w:numPr>
          <w:ilvl w:val="0"/>
          <w:numId w:val="0"/>
        </w:numPr>
        <w:ind w:left="426"/>
        <w:rPr>
          <w:b/>
        </w:rPr>
      </w:pPr>
      <w:r w:rsidRPr="005C3E39">
        <w:rPr>
          <w:b/>
        </w:rPr>
        <w:t xml:space="preserve">Уровни цен при определении справедливой стоимости: </w:t>
      </w:r>
    </w:p>
    <w:p w14:paraId="6EE222A5" w14:textId="77777777" w:rsidR="003B3EB9" w:rsidRPr="005C3E39" w:rsidRDefault="003B3EB9" w:rsidP="0018397B">
      <w:pPr>
        <w:pStyle w:val="a1"/>
        <w:numPr>
          <w:ilvl w:val="0"/>
          <w:numId w:val="0"/>
        </w:numPr>
        <w:ind w:left="426"/>
      </w:pPr>
      <w:r w:rsidRPr="005C3E39">
        <w:t>Уровни цен при определении справедливой стоимости при определении справедливой стоимости определяются в соответствии с Международным стандартом финансовой отчетности (IFRS) 13 «Оценка справедливой стоимости», 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w:t>
      </w:r>
    </w:p>
    <w:p w14:paraId="60B199D7" w14:textId="77777777" w:rsidR="00BA5077" w:rsidRPr="005C3E39" w:rsidRDefault="00BA5077" w:rsidP="00577C5E">
      <w:pPr>
        <w:pStyle w:val="a1"/>
        <w:numPr>
          <w:ilvl w:val="0"/>
          <w:numId w:val="0"/>
        </w:numPr>
        <w:ind w:left="426"/>
      </w:pPr>
      <w:r w:rsidRPr="005C3E39">
        <w:t xml:space="preserve">1 уровень -  цена актива или обязательства на Активном рынке. </w:t>
      </w:r>
    </w:p>
    <w:p w14:paraId="1867C239" w14:textId="77777777" w:rsidR="00BA5077" w:rsidRPr="005C3E39" w:rsidRDefault="00BA5077" w:rsidP="00577C5E">
      <w:pPr>
        <w:pStyle w:val="a1"/>
        <w:numPr>
          <w:ilvl w:val="0"/>
          <w:numId w:val="0"/>
        </w:numPr>
        <w:ind w:left="426"/>
      </w:pPr>
      <w:r w:rsidRPr="005C3E39">
        <w:t>2 уровень – цена, рассчитанная на основе наблюдаемых данных по указанному или аналогичному активу.</w:t>
      </w:r>
    </w:p>
    <w:p w14:paraId="5F92B482" w14:textId="77777777" w:rsidR="00BA5077" w:rsidRPr="005C3E39" w:rsidRDefault="00BA5077" w:rsidP="00577C5E">
      <w:pPr>
        <w:pStyle w:val="a1"/>
        <w:numPr>
          <w:ilvl w:val="0"/>
          <w:numId w:val="0"/>
        </w:numPr>
        <w:ind w:left="426"/>
      </w:pPr>
      <w:r w:rsidRPr="005C3E39">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14:paraId="1A23DB16" w14:textId="77777777" w:rsidR="00BA5077" w:rsidRPr="005C3E39" w:rsidRDefault="00BA5077" w:rsidP="00577C5E">
      <w:pPr>
        <w:pStyle w:val="a1"/>
        <w:numPr>
          <w:ilvl w:val="0"/>
          <w:numId w:val="0"/>
        </w:numPr>
        <w:ind w:left="426"/>
      </w:pPr>
      <w:r w:rsidRPr="005C3E39">
        <w:rPr>
          <w:b/>
        </w:rPr>
        <w:t>Основной рынок</w:t>
      </w:r>
      <w:r w:rsidRPr="005C3E39">
        <w:t xml:space="preserve"> - рынок (из числа активных) с наибольшим для соответствующего актива или обязательства объемом торгов и уровнем активности.</w:t>
      </w:r>
    </w:p>
    <w:p w14:paraId="6C989822" w14:textId="77777777" w:rsidR="00BF3C43" w:rsidRPr="005C3E39" w:rsidRDefault="00BF3C43" w:rsidP="00577C5E">
      <w:pPr>
        <w:pStyle w:val="a1"/>
        <w:numPr>
          <w:ilvl w:val="0"/>
          <w:numId w:val="0"/>
        </w:numPr>
        <w:ind w:left="426"/>
      </w:pPr>
      <w:r w:rsidRPr="005C3E39">
        <w:rPr>
          <w:b/>
        </w:rPr>
        <w:t>Торговый день</w:t>
      </w:r>
      <w:r w:rsidR="00953C10" w:rsidRPr="005C3E39">
        <w:t xml:space="preserve"> </w:t>
      </w:r>
      <w:r w:rsidRPr="005C3E39">
        <w:t>-</w:t>
      </w:r>
      <w:r w:rsidR="00953C10" w:rsidRPr="005C3E39">
        <w:t xml:space="preserve"> </w:t>
      </w:r>
      <w:r w:rsidRPr="005C3E39">
        <w:t xml:space="preserve">установленный торговый день в соответствии с торговым календарем  биржи. В случае, когда </w:t>
      </w:r>
      <w:r w:rsidR="00953C10" w:rsidRPr="005C3E39">
        <w:t xml:space="preserve">по решению Банка России происходит приостановка торгов по отдельному виду активов, для таких активов день считается неторговым. </w:t>
      </w:r>
    </w:p>
    <w:p w14:paraId="35113295" w14:textId="77777777" w:rsidR="00BA5077" w:rsidRPr="005C3E39" w:rsidRDefault="00BA5077" w:rsidP="00577C5E">
      <w:pPr>
        <w:pStyle w:val="a1"/>
        <w:numPr>
          <w:ilvl w:val="0"/>
          <w:numId w:val="0"/>
        </w:numPr>
        <w:ind w:left="426"/>
        <w:rPr>
          <w:b/>
        </w:rPr>
      </w:pPr>
      <w:r w:rsidRPr="005C3E39">
        <w:rPr>
          <w:b/>
        </w:rPr>
        <w:t>Основным рынком для ценных бумаг</w:t>
      </w:r>
      <w:r w:rsidR="00167390" w:rsidRPr="005C3E39">
        <w:rPr>
          <w:b/>
        </w:rPr>
        <w:t>,</w:t>
      </w:r>
      <w:r w:rsidRPr="005C3E39">
        <w:rPr>
          <w:b/>
        </w:rPr>
        <w:t xml:space="preserve"> допущенных к торгам российскими организаторами торговли, признается:</w:t>
      </w:r>
    </w:p>
    <w:p w14:paraId="6FCE5D0F" w14:textId="77777777" w:rsidR="00BA5077" w:rsidRPr="005C3E39" w:rsidRDefault="00BA5077" w:rsidP="00577C5E">
      <w:pPr>
        <w:pStyle w:val="a1"/>
        <w:numPr>
          <w:ilvl w:val="0"/>
          <w:numId w:val="0"/>
        </w:numPr>
        <w:ind w:left="426"/>
      </w:pPr>
      <w:r w:rsidRPr="005C3E39">
        <w:t xml:space="preserve">Московская биржа, если Московская биржа является активным рынком. </w:t>
      </w:r>
    </w:p>
    <w:p w14:paraId="5AD50DF8" w14:textId="77777777" w:rsidR="00BA5077" w:rsidRPr="005C3E39" w:rsidRDefault="00BA5077" w:rsidP="00577C5E">
      <w:pPr>
        <w:pStyle w:val="a1"/>
        <w:numPr>
          <w:ilvl w:val="0"/>
          <w:numId w:val="0"/>
        </w:numPr>
        <w:ind w:left="426"/>
      </w:pPr>
      <w:r w:rsidRPr="005C3E39">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14:paraId="3A85D74F" w14:textId="77777777" w:rsidR="00BA5077" w:rsidRPr="005C3E39" w:rsidRDefault="00BA5077" w:rsidP="00577C5E">
      <w:pPr>
        <w:pStyle w:val="a1"/>
        <w:numPr>
          <w:ilvl w:val="0"/>
          <w:numId w:val="0"/>
        </w:numPr>
        <w:ind w:left="426"/>
      </w:pPr>
      <w:r w:rsidRPr="005C3E39">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14:paraId="3BA1C0F9" w14:textId="77777777" w:rsidR="00BA5077" w:rsidRPr="005C3E39" w:rsidRDefault="00BA5077" w:rsidP="00577C5E">
      <w:pPr>
        <w:pStyle w:val="a1"/>
        <w:numPr>
          <w:ilvl w:val="0"/>
          <w:numId w:val="0"/>
        </w:numPr>
        <w:ind w:left="426"/>
        <w:rPr>
          <w:b/>
        </w:rPr>
      </w:pPr>
      <w:r w:rsidRPr="005C3E39">
        <w:rPr>
          <w:b/>
        </w:rPr>
        <w:lastRenderedPageBreak/>
        <w:t>Основным рынком для ценных бумаг</w:t>
      </w:r>
      <w:r w:rsidR="00167390" w:rsidRPr="005C3E39">
        <w:rPr>
          <w:b/>
        </w:rPr>
        <w:t>,</w:t>
      </w:r>
      <w:r w:rsidRPr="005C3E39">
        <w:rPr>
          <w:b/>
        </w:rPr>
        <w:t xml:space="preserve"> </w:t>
      </w:r>
      <w:r w:rsidR="0042767F" w:rsidRPr="005C3E39">
        <w:rPr>
          <w:b/>
        </w:rPr>
        <w:t>допущенных к иностранным организаторам торговли</w:t>
      </w:r>
      <w:r w:rsidR="00167390" w:rsidRPr="005C3E39">
        <w:rPr>
          <w:b/>
        </w:rPr>
        <w:t>,</w:t>
      </w:r>
      <w:r w:rsidRPr="005C3E39">
        <w:rPr>
          <w:b/>
        </w:rPr>
        <w:t xml:space="preserve"> признается:</w:t>
      </w:r>
    </w:p>
    <w:p w14:paraId="4774F10A" w14:textId="77777777" w:rsidR="00BA5077" w:rsidRPr="005C3E39" w:rsidRDefault="00BA5077" w:rsidP="00577C5E">
      <w:pPr>
        <w:pStyle w:val="a1"/>
        <w:numPr>
          <w:ilvl w:val="0"/>
          <w:numId w:val="0"/>
        </w:numPr>
        <w:ind w:left="426"/>
      </w:pPr>
      <w:r w:rsidRPr="005C3E39">
        <w:t xml:space="preserve">1. Иностранная биржа или российская биржа из числа активных рынков, по которой определен наибольший общий объем сделок по количеству ценных бумаг за предыдущие 30 (Тридцать) дней. </w:t>
      </w:r>
    </w:p>
    <w:p w14:paraId="6C4FEBA4" w14:textId="77777777" w:rsidR="00BA5077" w:rsidRPr="005C3E39" w:rsidRDefault="00BA5077" w:rsidP="00577C5E">
      <w:pPr>
        <w:pStyle w:val="a1"/>
        <w:numPr>
          <w:ilvl w:val="0"/>
          <w:numId w:val="0"/>
        </w:numPr>
        <w:ind w:left="426"/>
      </w:pPr>
      <w:r w:rsidRPr="005C3E39">
        <w:t>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p w14:paraId="510FD8B4" w14:textId="77777777" w:rsidR="00A05B89" w:rsidRPr="005C3E39" w:rsidRDefault="00A05B89" w:rsidP="00577C5E">
      <w:pPr>
        <w:pStyle w:val="a1"/>
        <w:numPr>
          <w:ilvl w:val="0"/>
          <w:numId w:val="0"/>
        </w:numPr>
        <w:ind w:left="426"/>
      </w:pPr>
      <w:r w:rsidRPr="005C3E39">
        <w:t>Для облигаций внешних облигационных займов Российской Федерации, долговых ценных бумаг иностранных государств, еврооблигаций иностранных</w:t>
      </w:r>
      <w:r w:rsidR="003C6846" w:rsidRPr="005C3E39">
        <w:t xml:space="preserve"> </w:t>
      </w:r>
      <w:r w:rsidRPr="005C3E39">
        <w:t>эмитентов, долговых ценных бумаг иностранных государств, ценных бумаг международных финансовых организаций</w:t>
      </w:r>
      <w:r w:rsidR="001A06A5" w:rsidRPr="005C3E39">
        <w:t>, в случае, если они не допущены к торгам российскими организаторами торговли</w:t>
      </w:r>
      <w:r w:rsidRPr="005C3E39">
        <w:t xml:space="preserve"> основным рынком признается внебиржевой рынок.</w:t>
      </w:r>
    </w:p>
    <w:p w14:paraId="67F96168" w14:textId="77777777" w:rsidR="0042767F" w:rsidRPr="005C3E39" w:rsidRDefault="0042767F" w:rsidP="00577C5E">
      <w:pPr>
        <w:pStyle w:val="a1"/>
        <w:numPr>
          <w:ilvl w:val="0"/>
          <w:numId w:val="0"/>
        </w:numPr>
        <w:ind w:left="426"/>
      </w:pPr>
    </w:p>
    <w:p w14:paraId="651AC1D3" w14:textId="77777777" w:rsidR="0042767F" w:rsidRPr="005C3E39" w:rsidRDefault="0042767F" w:rsidP="00577C5E">
      <w:pPr>
        <w:pStyle w:val="a1"/>
        <w:numPr>
          <w:ilvl w:val="0"/>
          <w:numId w:val="0"/>
        </w:numPr>
        <w:ind w:left="426"/>
      </w:pPr>
      <w:r w:rsidRPr="005C3E39">
        <w:t>В случае если ценная бумага допущена к российским и иностранным организаторам торговли, приоритет в определении основного рынка отдается российским организаторам торговли</w:t>
      </w:r>
      <w:r w:rsidR="00FB25CC" w:rsidRPr="005C3E39">
        <w:t>.</w:t>
      </w:r>
    </w:p>
    <w:p w14:paraId="4E8A9CD5" w14:textId="77777777" w:rsidR="00D3251C" w:rsidRPr="005C3E39" w:rsidRDefault="00D3251C" w:rsidP="007B25F8">
      <w:pPr>
        <w:pStyle w:val="a1"/>
        <w:numPr>
          <w:ilvl w:val="0"/>
          <w:numId w:val="0"/>
        </w:numPr>
        <w:ind w:left="426"/>
      </w:pPr>
      <w:r w:rsidRPr="005C3E39">
        <w:rPr>
          <w:b/>
        </w:rPr>
        <w:t>Операционная дебиторская задолженность</w:t>
      </w:r>
      <w:r w:rsidRPr="005C3E39">
        <w:t xml:space="preserve"> – дебиторская задолженность контрагента, возникающая в ходе нормального операционного цикла, которая будет погашена в течение сроков, установленных в настоящих Правилах определения СЧА. Допустимые сроки просрочки, установленные для операционной дебиторской задолженности, не должны приводить к признанию безнадежной к получению задолженности, а также к обесценению задолженности. Такая задолженность будет реализована управляющей компанией в полном объеме в сроки, укладывающиеся в нормальную рыночную (или внутреннюю) практику взаимодействия с конкретным видом дебиторской задолженности. </w:t>
      </w:r>
    </w:p>
    <w:p w14:paraId="36AF87C6" w14:textId="77777777" w:rsidR="00D3251C" w:rsidRPr="005C3E39" w:rsidRDefault="00D3251C" w:rsidP="007B25F8">
      <w:pPr>
        <w:pStyle w:val="a1"/>
        <w:numPr>
          <w:ilvl w:val="0"/>
          <w:numId w:val="0"/>
        </w:numPr>
        <w:ind w:left="426"/>
      </w:pPr>
      <w:r w:rsidRPr="005C3E39">
        <w:rPr>
          <w:b/>
        </w:rPr>
        <w:t>Экспертное (мотивированное) суждение</w:t>
      </w:r>
      <w:r w:rsidRPr="005C3E39">
        <w:t xml:space="preserve"> – это документально оформленное профессиональное суждение Управляющей компании, содержащее обоснованные расчеты и выводы об оценке справедливой стоимости активов, о величинах, используемых в расчете справедливой стоимости, о выявленных основаниях признания/прекращения признания активов/обязательств, о выявленных признаках возникновения кредитных рисков и прочих обстоятельствах, которые влияют на оценку справедливой стоимости в соответствии с МСФО 13. Применение такого суждения допустимо в случаях, установленных настоящими Правилами определения СЧА, а так же в иных исключительных случаях, когда текущие методы  определения справедливой стоимости актива (обязательства) с учетом нестандартных внешних обстоятельств приводят к искажению справедливой стоимости, а применение мотивированного суждения обеспечивает надежное  определение справедливой стоимости соответствии с МСФО 13 и требованиям законодательства Российской Федерации. </w:t>
      </w:r>
    </w:p>
    <w:p w14:paraId="06F87C18" w14:textId="77777777" w:rsidR="00CA1CC4" w:rsidRPr="005C3E39" w:rsidRDefault="00CA1CC4" w:rsidP="007B25F8">
      <w:pPr>
        <w:pStyle w:val="a1"/>
        <w:numPr>
          <w:ilvl w:val="0"/>
          <w:numId w:val="0"/>
        </w:numPr>
        <w:ind w:left="426"/>
      </w:pPr>
    </w:p>
    <w:p w14:paraId="47C1838E" w14:textId="68EC7C12" w:rsidR="008C0A68" w:rsidRPr="005C3E39" w:rsidRDefault="008C0A68" w:rsidP="008C0A68">
      <w:pPr>
        <w:pStyle w:val="a1"/>
        <w:numPr>
          <w:ilvl w:val="0"/>
          <w:numId w:val="0"/>
        </w:numPr>
        <w:ind w:left="426"/>
        <w:rPr>
          <w:b/>
          <w:u w:val="single"/>
        </w:rPr>
      </w:pPr>
      <w:r w:rsidRPr="005C3E39">
        <w:rPr>
          <w:b/>
          <w:u w:val="single"/>
        </w:rPr>
        <w:t>Признание и определение справедливой стоимости  денежных средств на счетах и во вкладах, , открытых на Управляющую компанию Д.У. Фонда</w:t>
      </w:r>
      <w:r w:rsidR="00E255DB">
        <w:rPr>
          <w:b/>
          <w:u w:val="single"/>
        </w:rPr>
        <w:t>,</w:t>
      </w:r>
      <w:r w:rsidR="00E255DB" w:rsidRPr="00E255DB">
        <w:rPr>
          <w:b/>
          <w:u w:val="single"/>
        </w:rPr>
        <w:t xml:space="preserve"> </w:t>
      </w:r>
      <w:r w:rsidR="00E255DB" w:rsidRPr="005C3E39">
        <w:rPr>
          <w:b/>
          <w:u w:val="single"/>
        </w:rPr>
        <w:t>в том числе на транзитных</w:t>
      </w:r>
      <w:r w:rsidR="00E255DB">
        <w:rPr>
          <w:b/>
          <w:u w:val="single"/>
        </w:rPr>
        <w:t xml:space="preserve"> счетах.</w:t>
      </w:r>
      <w:r w:rsidRPr="005C3E39">
        <w:rPr>
          <w:b/>
          <w:u w:val="single"/>
        </w:rPr>
        <w:t xml:space="preserve"> </w:t>
      </w:r>
    </w:p>
    <w:p w14:paraId="65E0B906" w14:textId="77777777" w:rsidR="008C0A68" w:rsidRPr="005C3E39" w:rsidRDefault="008C0A68" w:rsidP="008C0A68">
      <w:pPr>
        <w:pStyle w:val="a1"/>
        <w:numPr>
          <w:ilvl w:val="0"/>
          <w:numId w:val="0"/>
        </w:numPr>
        <w:ind w:left="426"/>
      </w:pPr>
    </w:p>
    <w:p w14:paraId="7926FE3B" w14:textId="77777777" w:rsidR="008C0A68" w:rsidRPr="005C3E39" w:rsidRDefault="008C0A68" w:rsidP="008C0A68">
      <w:pPr>
        <w:pStyle w:val="a1"/>
        <w:numPr>
          <w:ilvl w:val="0"/>
          <w:numId w:val="0"/>
        </w:numPr>
        <w:ind w:left="426"/>
      </w:pPr>
      <w:r w:rsidRPr="005C3E39">
        <w:rPr>
          <w:u w:val="single"/>
        </w:rPr>
        <w:t>Критерии признания</w:t>
      </w:r>
      <w:r w:rsidRPr="005C3E39">
        <w:t>:</w:t>
      </w:r>
    </w:p>
    <w:p w14:paraId="67F42294" w14:textId="77777777" w:rsidR="008C0A68" w:rsidRPr="005C3E39" w:rsidRDefault="008C0A68" w:rsidP="008C0A68">
      <w:pPr>
        <w:pStyle w:val="a1"/>
        <w:numPr>
          <w:ilvl w:val="0"/>
          <w:numId w:val="0"/>
        </w:numPr>
        <w:ind w:left="426"/>
      </w:pPr>
      <w:r w:rsidRPr="005C3E39">
        <w:t>- дата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p>
    <w:p w14:paraId="1BDF7F6E" w14:textId="27D136A6" w:rsidR="008C0A68" w:rsidRPr="005C3E39" w:rsidRDefault="008C0A68" w:rsidP="008C0A68">
      <w:pPr>
        <w:pStyle w:val="a1"/>
        <w:numPr>
          <w:ilvl w:val="0"/>
          <w:numId w:val="0"/>
        </w:numPr>
        <w:ind w:left="426"/>
      </w:pPr>
      <w:r w:rsidRPr="005C3E39">
        <w:t xml:space="preserve">- по депозитным вкладам - дата зачисления во вклад (депозит) денежных средств, подтвержденная выпиской со счета по вкладу (депозиту) </w:t>
      </w:r>
    </w:p>
    <w:p w14:paraId="68285582" w14:textId="77777777" w:rsidR="008C0A68" w:rsidRPr="005C3E39" w:rsidRDefault="008C0A68" w:rsidP="008C0A68">
      <w:pPr>
        <w:pStyle w:val="a1"/>
        <w:numPr>
          <w:ilvl w:val="0"/>
          <w:numId w:val="0"/>
        </w:numPr>
        <w:ind w:left="426"/>
      </w:pPr>
      <w:r w:rsidRPr="005C3E39">
        <w:rPr>
          <w:u w:val="single"/>
        </w:rPr>
        <w:t>Критерии прекращения признания</w:t>
      </w:r>
      <w:r w:rsidRPr="005C3E39">
        <w:t>:</w:t>
      </w:r>
    </w:p>
    <w:p w14:paraId="6E653F0E" w14:textId="77777777" w:rsidR="008C0A68" w:rsidRPr="005C3E39" w:rsidRDefault="008C0A68" w:rsidP="008C0A68">
      <w:pPr>
        <w:pStyle w:val="a1"/>
        <w:numPr>
          <w:ilvl w:val="0"/>
          <w:numId w:val="0"/>
        </w:numPr>
        <w:ind w:left="426"/>
      </w:pPr>
      <w:r w:rsidRPr="005C3E39">
        <w:rPr>
          <w:i/>
        </w:rPr>
        <w:lastRenderedPageBreak/>
        <w:t>По денежным средствам</w:t>
      </w:r>
      <w:r w:rsidRPr="005C3E39">
        <w:t>:</w:t>
      </w:r>
    </w:p>
    <w:p w14:paraId="3D30EC54" w14:textId="77777777" w:rsidR="008C0A68" w:rsidRPr="005C3E39" w:rsidRDefault="008C0A68" w:rsidP="008C0A68">
      <w:pPr>
        <w:pStyle w:val="a1"/>
        <w:numPr>
          <w:ilvl w:val="0"/>
          <w:numId w:val="0"/>
        </w:numPr>
        <w:ind w:left="426"/>
      </w:pPr>
      <w:r w:rsidRPr="005C3E39">
        <w:t xml:space="preserve">-дата исполнения кредитной организацией обязательств по возврату </w:t>
      </w:r>
      <w:r w:rsidRPr="005C3E39">
        <w:br/>
        <w:t>вклада/перечисления денежных средств со счета;</w:t>
      </w:r>
    </w:p>
    <w:p w14:paraId="18E73041" w14:textId="77777777" w:rsidR="008C0A68" w:rsidRPr="005C3E39" w:rsidRDefault="008C0A68" w:rsidP="008C0A68">
      <w:pPr>
        <w:pStyle w:val="a1"/>
        <w:numPr>
          <w:ilvl w:val="0"/>
          <w:numId w:val="0"/>
        </w:numPr>
        <w:ind w:left="426"/>
      </w:pPr>
      <w:r w:rsidRPr="005C3E39">
        <w:t>-дата решения Банка России об отзыве лицензии банка, раскрытия в доступном источнике информации о применении к банку процедуры банкротства (денежные средства переходят в статус дебиторской задолженности);</w:t>
      </w:r>
    </w:p>
    <w:p w14:paraId="7832EA01" w14:textId="77777777" w:rsidR="008C0A68" w:rsidRPr="005C3E39" w:rsidRDefault="008C0A68" w:rsidP="008C0A68">
      <w:pPr>
        <w:pStyle w:val="a1"/>
        <w:numPr>
          <w:ilvl w:val="0"/>
          <w:numId w:val="0"/>
        </w:numPr>
        <w:ind w:left="426"/>
      </w:pPr>
      <w:r w:rsidRPr="005C3E39">
        <w:t>-дата ликвидации банка согласно информации, раскрытой в официальном доступном источнике;</w:t>
      </w:r>
    </w:p>
    <w:p w14:paraId="544811A3" w14:textId="77777777" w:rsidR="008C0A68" w:rsidRPr="005C3E39" w:rsidRDefault="008C0A68" w:rsidP="008C0A68">
      <w:pPr>
        <w:pStyle w:val="a1"/>
        <w:numPr>
          <w:ilvl w:val="0"/>
          <w:numId w:val="0"/>
        </w:numPr>
        <w:ind w:left="426"/>
      </w:pPr>
      <w:r w:rsidRPr="005C3E39">
        <w:t>-дата внесения записи в ЕГРЮЛ о ликвидации банка.</w:t>
      </w:r>
    </w:p>
    <w:p w14:paraId="6BD97BFE" w14:textId="77777777" w:rsidR="008C0A68" w:rsidRPr="005C3E39" w:rsidRDefault="008C0A68" w:rsidP="008C0A68">
      <w:pPr>
        <w:pStyle w:val="a1"/>
        <w:numPr>
          <w:ilvl w:val="0"/>
          <w:numId w:val="0"/>
        </w:numPr>
        <w:ind w:left="426"/>
      </w:pPr>
    </w:p>
    <w:p w14:paraId="1176C10D" w14:textId="1F2501D1" w:rsidR="008C0A68" w:rsidRPr="005C3E39" w:rsidRDefault="008C0A68" w:rsidP="008C0A68">
      <w:pPr>
        <w:pStyle w:val="a1"/>
        <w:numPr>
          <w:ilvl w:val="0"/>
          <w:numId w:val="0"/>
        </w:numPr>
        <w:ind w:left="426"/>
      </w:pPr>
      <w:r w:rsidRPr="005C3E39">
        <w:rPr>
          <w:i/>
        </w:rPr>
        <w:t xml:space="preserve">По </w:t>
      </w:r>
      <w:r w:rsidRPr="00B315FF">
        <w:rPr>
          <w:i/>
        </w:rPr>
        <w:t>депозитным вкладам</w:t>
      </w:r>
      <w:r w:rsidRPr="00B315FF">
        <w:t>:</w:t>
      </w:r>
      <w:r w:rsidRPr="005C3E39">
        <w:t xml:space="preserve"> </w:t>
      </w:r>
    </w:p>
    <w:p w14:paraId="13D8DA48" w14:textId="202A3CCC" w:rsidR="008C0A68" w:rsidRPr="005C3E39" w:rsidRDefault="008C0A68" w:rsidP="008C0A68">
      <w:pPr>
        <w:pStyle w:val="a1"/>
        <w:numPr>
          <w:ilvl w:val="0"/>
          <w:numId w:val="0"/>
        </w:numPr>
        <w:ind w:left="426"/>
      </w:pPr>
      <w:r w:rsidRPr="005C3E39">
        <w:t>- дата списания с вклада (депозита) денежных средств, подтвержденная выпиской со счета по вкладу (депозиту);</w:t>
      </w:r>
    </w:p>
    <w:p w14:paraId="013AA55F" w14:textId="77777777" w:rsidR="008C0A68" w:rsidRPr="005C3E39" w:rsidRDefault="008C0A68" w:rsidP="008C0A68">
      <w:pPr>
        <w:pStyle w:val="a1"/>
        <w:numPr>
          <w:ilvl w:val="0"/>
          <w:numId w:val="0"/>
        </w:numPr>
        <w:ind w:left="426"/>
      </w:pPr>
      <w:r w:rsidRPr="005C3E39">
        <w:t>- дата фактической переуступки права требования о выплате вклада и начисленных процентах на основании договора;</w:t>
      </w:r>
    </w:p>
    <w:p w14:paraId="41E6DD3E" w14:textId="77777777" w:rsidR="008C0A68" w:rsidRPr="005C3E39" w:rsidRDefault="008C0A68" w:rsidP="008C0A68">
      <w:pPr>
        <w:pStyle w:val="a1"/>
        <w:numPr>
          <w:ilvl w:val="0"/>
          <w:numId w:val="0"/>
        </w:numPr>
        <w:ind w:left="426"/>
      </w:pPr>
      <w:r w:rsidRPr="005C3E39">
        <w:t>- дата получения информации о ликвидации эмитента (внесения записи в ЕГРЮЛ о ликвидации).</w:t>
      </w:r>
    </w:p>
    <w:p w14:paraId="50C2620C" w14:textId="77777777" w:rsidR="008C0A68" w:rsidRPr="005C3E39" w:rsidRDefault="008C0A68" w:rsidP="008C0A68">
      <w:pPr>
        <w:pStyle w:val="a1"/>
        <w:numPr>
          <w:ilvl w:val="0"/>
          <w:numId w:val="0"/>
        </w:numPr>
        <w:ind w:left="426"/>
      </w:pPr>
    </w:p>
    <w:p w14:paraId="4C385973" w14:textId="1C5D18D6" w:rsidR="008C0A68" w:rsidRPr="005C3E39" w:rsidRDefault="008C0A68" w:rsidP="008C0A68">
      <w:pPr>
        <w:pStyle w:val="a1"/>
        <w:numPr>
          <w:ilvl w:val="0"/>
          <w:numId w:val="0"/>
        </w:numPr>
        <w:ind w:left="426"/>
      </w:pPr>
      <w:r w:rsidRPr="005C3E39">
        <w:rPr>
          <w:b/>
          <w:i/>
        </w:rPr>
        <w:t>Справедливая стоимость денежных средств</w:t>
      </w:r>
      <w:r w:rsidRPr="005C3E39">
        <w:t xml:space="preserve"> на счетах,  , открытых на имя Управляющей компании Д.У. ПИФ, </w:t>
      </w:r>
      <w:r w:rsidR="00E255DB" w:rsidRPr="005C3E39">
        <w:t xml:space="preserve">в том числе на транзитных </w:t>
      </w:r>
      <w:r w:rsidR="00E255DB">
        <w:t xml:space="preserve"> счетах,</w:t>
      </w:r>
      <w:r w:rsidRPr="005C3E39">
        <w:t xml:space="preserve">определяется в сумме остатка на счетах. </w:t>
      </w:r>
    </w:p>
    <w:p w14:paraId="28CC6A9E" w14:textId="77777777" w:rsidR="008C0A68" w:rsidRPr="005C3E39" w:rsidRDefault="008C0A68" w:rsidP="008C0A68">
      <w:pPr>
        <w:pStyle w:val="a1"/>
        <w:numPr>
          <w:ilvl w:val="0"/>
          <w:numId w:val="0"/>
        </w:numPr>
        <w:ind w:left="426"/>
      </w:pPr>
    </w:p>
    <w:p w14:paraId="45230112" w14:textId="082A163A" w:rsidR="008C0A68" w:rsidRPr="005C3E39" w:rsidRDefault="008C0A68" w:rsidP="008C0A68">
      <w:pPr>
        <w:pStyle w:val="a1"/>
        <w:numPr>
          <w:ilvl w:val="0"/>
          <w:numId w:val="0"/>
        </w:numPr>
        <w:ind w:left="426"/>
        <w:rPr>
          <w:rFonts w:eastAsia="Batang"/>
          <w:color w:val="000000"/>
          <w:lang w:eastAsia="ru-RU"/>
        </w:rPr>
      </w:pPr>
      <w:r w:rsidRPr="005C3E39">
        <w:rPr>
          <w:b/>
          <w:i/>
        </w:rPr>
        <w:t xml:space="preserve">Справедливая стоимость депозитов </w:t>
      </w:r>
      <w:r w:rsidRPr="005C3E39">
        <w:rPr>
          <w:rFonts w:eastAsia="Batang"/>
          <w:color w:val="000000"/>
          <w:lang w:eastAsia="ru-RU"/>
        </w:rPr>
        <w:t>определяется как номинальная стоимость депозита (сумма денежных средств, находящихся на депозитном счете) плюс начисленные, исходя из процентной ставки по депозиту, проценты на дату оценки в следующих случаях:</w:t>
      </w:r>
    </w:p>
    <w:p w14:paraId="6AECE8ED" w14:textId="77777777" w:rsidR="008C0A68" w:rsidRPr="005C3E39" w:rsidRDefault="008C0A68" w:rsidP="008C0A68">
      <w:pPr>
        <w:pStyle w:val="a7"/>
        <w:spacing w:line="240" w:lineRule="auto"/>
        <w:jc w:val="both"/>
        <w:rPr>
          <w:rFonts w:ascii="Times New Roman" w:eastAsia="Batang" w:hAnsi="Times New Roman"/>
          <w:color w:val="000000"/>
          <w:sz w:val="24"/>
          <w:szCs w:val="24"/>
          <w:lang w:eastAsia="ru-RU"/>
        </w:rPr>
      </w:pPr>
      <w:r w:rsidRPr="005C3E39">
        <w:rPr>
          <w:rFonts w:ascii="Times New Roman" w:eastAsia="Batang" w:hAnsi="Times New Roman"/>
          <w:color w:val="000000"/>
          <w:sz w:val="24"/>
          <w:szCs w:val="24"/>
          <w:lang w:eastAsia="ru-RU"/>
        </w:rPr>
        <w:t xml:space="preserve">- срок депозита «до востребования» </w:t>
      </w:r>
    </w:p>
    <w:p w14:paraId="1DB0C0B0" w14:textId="77777777" w:rsidR="008C0A68" w:rsidRPr="005C3E39" w:rsidRDefault="008C0A68" w:rsidP="008C0A68">
      <w:pPr>
        <w:pStyle w:val="a7"/>
        <w:spacing w:line="240" w:lineRule="auto"/>
        <w:jc w:val="both"/>
        <w:rPr>
          <w:rFonts w:ascii="Times New Roman" w:eastAsia="Batang" w:hAnsi="Times New Roman"/>
          <w:color w:val="000000"/>
          <w:sz w:val="24"/>
          <w:szCs w:val="24"/>
          <w:lang w:eastAsia="ru-RU"/>
        </w:rPr>
      </w:pPr>
      <w:r w:rsidRPr="005C3E39">
        <w:rPr>
          <w:rFonts w:ascii="Times New Roman" w:eastAsia="Batang" w:hAnsi="Times New Roman"/>
          <w:color w:val="000000"/>
          <w:sz w:val="24"/>
          <w:szCs w:val="24"/>
          <w:lang w:eastAsia="ru-RU"/>
        </w:rPr>
        <w:t>- срок депозита  менее 1 (одного года) с даты размещения денежных средств, и процентная ставка по депозиту признана рыночной;</w:t>
      </w:r>
    </w:p>
    <w:p w14:paraId="20DCEBB1" w14:textId="77777777" w:rsidR="008C0A68" w:rsidRPr="005C3E39" w:rsidRDefault="008C0A68" w:rsidP="008C0A68">
      <w:pPr>
        <w:pStyle w:val="a7"/>
        <w:spacing w:line="240" w:lineRule="auto"/>
        <w:jc w:val="both"/>
        <w:rPr>
          <w:rFonts w:ascii="Times New Roman" w:eastAsia="Batang" w:hAnsi="Times New Roman"/>
          <w:color w:val="000000"/>
          <w:sz w:val="24"/>
          <w:szCs w:val="24"/>
          <w:lang w:eastAsia="ru-RU"/>
        </w:rPr>
      </w:pPr>
      <w:r w:rsidRPr="005C3E39">
        <w:rPr>
          <w:rFonts w:ascii="Times New Roman" w:eastAsia="Batang" w:hAnsi="Times New Roman"/>
          <w:color w:val="000000"/>
          <w:sz w:val="24"/>
          <w:szCs w:val="24"/>
          <w:lang w:eastAsia="ru-RU"/>
        </w:rPr>
        <w:t>- депозит может быть расторгнут вкладчиком в любой день без потери начисленных на дату расторжения процентов, и процентная ставка по депозиту признана рыночной.</w:t>
      </w:r>
    </w:p>
    <w:p w14:paraId="564AB147" w14:textId="0236BB7C" w:rsidR="008C0A68" w:rsidRPr="005C3E39" w:rsidRDefault="008C0A68" w:rsidP="008C0A68">
      <w:pPr>
        <w:pStyle w:val="a1"/>
        <w:numPr>
          <w:ilvl w:val="0"/>
          <w:numId w:val="0"/>
        </w:numPr>
        <w:ind w:left="426"/>
      </w:pPr>
      <w:r w:rsidRPr="005C3E39">
        <w:t xml:space="preserve">          Во всех остальных случаях и справедливая стоимость депозита определяется как приведенная к дате оценки стоимость  оставшихся до момента погашения денежных потоков по депозиту (учитываются платежи процентов и основной суммы депозита), рассчитанная с использованием в качестве ставки дисконтирования выбранной рыночной процентной ставки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рын.</m:t>
            </m:r>
          </m:sub>
        </m:sSub>
      </m:oMath>
      <w:r w:rsidRPr="005C3E39">
        <w:t>.(приведенная стоимость).На дату оценки производится проверка соответствия процентной ставки по депозиту, определенной в договоре банковского вклада рыночным условиям</w:t>
      </w:r>
    </w:p>
    <w:p w14:paraId="0A7FD1AE" w14:textId="77777777" w:rsidR="008C0A68" w:rsidRPr="005C3E39" w:rsidRDefault="008C0A68" w:rsidP="008C0A68">
      <w:pPr>
        <w:pStyle w:val="a1"/>
        <w:numPr>
          <w:ilvl w:val="0"/>
          <w:numId w:val="0"/>
        </w:numPr>
        <w:ind w:left="426"/>
      </w:pPr>
    </w:p>
    <w:p w14:paraId="649BAE5D" w14:textId="77777777" w:rsidR="008C0A68" w:rsidRPr="005C3E39" w:rsidRDefault="008C0A68" w:rsidP="008C0A68">
      <w:pPr>
        <w:pStyle w:val="a1"/>
        <w:numPr>
          <w:ilvl w:val="0"/>
          <w:numId w:val="0"/>
        </w:numPr>
        <w:ind w:left="426"/>
      </w:pPr>
      <w:r w:rsidRPr="005C3E39">
        <w:rPr>
          <w:b/>
          <w:i/>
        </w:rPr>
        <w:t>Приведенная стоимость будущих денежных потоков рассчитывается по формуле</w:t>
      </w:r>
      <w:r w:rsidRPr="005C3E39">
        <w:t>:</w:t>
      </w:r>
    </w:p>
    <w:p w14:paraId="437D21CB" w14:textId="77777777" w:rsidR="008C0A68" w:rsidRPr="005C3E39" w:rsidRDefault="008C0A68" w:rsidP="008C0A68">
      <w:pPr>
        <w:pStyle w:val="a1"/>
        <w:numPr>
          <w:ilvl w:val="0"/>
          <w:numId w:val="0"/>
        </w:numPr>
        <w:ind w:left="426"/>
      </w:pPr>
      <w:r w:rsidRPr="005C3E39">
        <w:rPr>
          <w:rFonts w:hint="eastAsia"/>
        </w:rPr>
        <w:br/>
      </w:r>
      <m:oMathPara>
        <m:oMath>
          <m:r>
            <w:rPr>
              <w:rFonts w:ascii="Cambria Math" w:hAnsi="Cambria Math"/>
            </w:rPr>
            <m:t>PV</m:t>
          </m:r>
          <m:r>
            <m:rPr>
              <m:sty m:val="p"/>
            </m:rPr>
            <w:rPr>
              <w:rFonts w:ascii="Cambria Math" w:hint="eastAsia"/>
            </w:rPr>
            <m:t>=</m:t>
          </m:r>
          <m:nary>
            <m:naryPr>
              <m:chr m:val="∑"/>
              <m:limLoc m:val="undOvr"/>
              <m:ctrlPr>
                <w:rPr>
                  <w:rFonts w:ascii="Cambria Math" w:hAnsi="Cambria Math"/>
                </w:rPr>
              </m:ctrlPr>
            </m:naryPr>
            <m:sub>
              <m:r>
                <w:rPr>
                  <w:rFonts w:ascii="Cambria Math" w:hAnsi="Cambria Math"/>
                </w:rPr>
                <m:t>n</m:t>
              </m:r>
              <m:r>
                <m:rPr>
                  <m:sty m:val="p"/>
                </m:rPr>
                <w:rPr>
                  <w:rFonts w:ascii="Cambria Math" w:hint="eastAsia"/>
                </w:rPr>
                <m:t>=1</m:t>
              </m:r>
            </m:sub>
            <m:sup>
              <m:r>
                <w:rPr>
                  <w:rFonts w:ascii="Cambria Math" w:hAnsi="Cambria Math"/>
                </w:rPr>
                <m:t>N</m:t>
              </m:r>
            </m:sup>
            <m:e>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n</m:t>
                      </m:r>
                    </m:sub>
                  </m:sSub>
                </m:num>
                <m:den>
                  <m:sSup>
                    <m:sSupPr>
                      <m:ctrlPr>
                        <w:rPr>
                          <w:rFonts w:ascii="Cambria Math" w:hAnsi="Cambria Math"/>
                        </w:rPr>
                      </m:ctrlPr>
                    </m:sSupPr>
                    <m:e>
                      <m:r>
                        <m:rPr>
                          <m:sty m:val="p"/>
                        </m:rPr>
                        <w:rPr>
                          <w:rFonts w:ascii="Cambria Math" w:hint="eastAsia"/>
                        </w:rPr>
                        <m:t>(1+</m:t>
                      </m:r>
                      <m:r>
                        <w:rPr>
                          <w:rFonts w:ascii="Cambria Math" w:hAnsi="Cambria Math"/>
                        </w:rPr>
                        <m:t>r</m:t>
                      </m:r>
                      <m:r>
                        <m:rPr>
                          <m:sty m:val="p"/>
                        </m:rPr>
                        <w:rPr>
                          <w:rFonts w:ascii="Cambria Math" w:hint="eastAsia"/>
                        </w:rPr>
                        <m:t>)</m:t>
                      </m:r>
                    </m:e>
                    <m:sup>
                      <m:f>
                        <m:fPr>
                          <m:type m:val="lin"/>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n</m:t>
                              </m:r>
                            </m:sub>
                          </m:sSub>
                        </m:num>
                        <m:den>
                          <m:r>
                            <m:rPr>
                              <m:sty m:val="p"/>
                            </m:rPr>
                            <w:rPr>
                              <w:rFonts w:ascii="Cambria Math" w:hint="eastAsia"/>
                            </w:rPr>
                            <m:t>365</m:t>
                          </m:r>
                        </m:den>
                      </m:f>
                    </m:sup>
                  </m:sSup>
                </m:den>
              </m:f>
              <m:r>
                <m:rPr>
                  <m:sty m:val="p"/>
                </m:rPr>
                <w:rPr>
                  <w:rFonts w:ascii="Cambria Math" w:hint="eastAsia"/>
                </w:rPr>
                <m:t xml:space="preserve">                    (1)</m:t>
              </m:r>
            </m:e>
          </m:nary>
        </m:oMath>
      </m:oMathPara>
    </w:p>
    <w:p w14:paraId="328633D3" w14:textId="77777777" w:rsidR="008C0A68" w:rsidRPr="005C3E39" w:rsidRDefault="008C0A68" w:rsidP="008C0A68">
      <w:pPr>
        <w:pStyle w:val="a1"/>
        <w:numPr>
          <w:ilvl w:val="0"/>
          <w:numId w:val="0"/>
        </w:numPr>
        <w:ind w:left="426"/>
      </w:pPr>
      <w:r w:rsidRPr="005C3E39">
        <w:t>PV – справедливая стоимость актива (обязательства);</w:t>
      </w:r>
    </w:p>
    <w:p w14:paraId="617EFFA4" w14:textId="77777777" w:rsidR="008C0A68" w:rsidRPr="005C3E39" w:rsidRDefault="008C0A68" w:rsidP="008C0A68">
      <w:pPr>
        <w:pStyle w:val="a1"/>
        <w:numPr>
          <w:ilvl w:val="0"/>
          <w:numId w:val="0"/>
        </w:numPr>
        <w:ind w:left="426"/>
      </w:pPr>
      <w:r w:rsidRPr="005C3E39">
        <w:t>N - количество денежных потоков до даты погашения актива (обязательства), начиная с даты определения СЧА;</w:t>
      </w:r>
    </w:p>
    <w:p w14:paraId="6022162F" w14:textId="77777777" w:rsidR="008C0A68" w:rsidRPr="005C3E39" w:rsidRDefault="008C0A68" w:rsidP="008C0A68">
      <w:pPr>
        <w:pStyle w:val="a1"/>
        <w:numPr>
          <w:ilvl w:val="0"/>
          <w:numId w:val="0"/>
        </w:numPr>
        <w:ind w:left="426"/>
      </w:pPr>
      <w:r w:rsidRPr="005C3E39">
        <w:object w:dxaOrig="279" w:dyaOrig="360" w14:anchorId="6974F747">
          <v:shape id="_x0000_i1072" type="#_x0000_t75" style="width:10.35pt;height:16.7pt" o:ole="">
            <v:imagedata r:id="rId83" o:title=""/>
          </v:shape>
          <o:OLEObject Type="Embed" ProgID="Equation.3" ShapeID="_x0000_i1072" DrawAspect="Content" ObjectID="_1849960616" r:id="rId84"/>
        </w:object>
      </w:r>
      <w:r w:rsidRPr="005C3E39">
        <w:t xml:space="preserve">  - сумма n-ого денежного потока (проценты и основная сумма); </w:t>
      </w:r>
    </w:p>
    <w:p w14:paraId="16BA0096" w14:textId="77777777" w:rsidR="008C0A68" w:rsidRPr="005C3E39" w:rsidRDefault="008C0A68" w:rsidP="008C0A68">
      <w:pPr>
        <w:pStyle w:val="a1"/>
        <w:numPr>
          <w:ilvl w:val="0"/>
          <w:numId w:val="0"/>
        </w:numPr>
        <w:ind w:left="426"/>
      </w:pPr>
      <w:r w:rsidRPr="005C3E39">
        <w:t>n - порядковый номер денежного потока, начиная с даты определения СЧА;</w:t>
      </w:r>
    </w:p>
    <w:p w14:paraId="78B54977" w14:textId="77777777" w:rsidR="008C0A68" w:rsidRPr="005C3E39" w:rsidRDefault="008C0A68" w:rsidP="008C0A68">
      <w:pPr>
        <w:pStyle w:val="a1"/>
        <w:numPr>
          <w:ilvl w:val="0"/>
          <w:numId w:val="0"/>
        </w:numPr>
        <w:ind w:left="426"/>
      </w:pPr>
      <w:r w:rsidRPr="005C3E39">
        <w:object w:dxaOrig="340" w:dyaOrig="360" w14:anchorId="473F3CFA">
          <v:shape id="_x0000_i1073" type="#_x0000_t75" style="width:15pt;height:16.7pt" o:ole="">
            <v:imagedata r:id="rId85" o:title=""/>
          </v:shape>
          <o:OLEObject Type="Embed" ProgID="Equation.3" ShapeID="_x0000_i1073" DrawAspect="Content" ObjectID="_1849960617" r:id="rId86"/>
        </w:object>
      </w:r>
      <w:r w:rsidRPr="005C3E39">
        <w:t xml:space="preserve">  - количество дней от даты определения СЧА до даты n-ого денежного потока;</w:t>
      </w:r>
    </w:p>
    <w:p w14:paraId="5DD0454D" w14:textId="77777777" w:rsidR="008C0A68" w:rsidRPr="005C3E39" w:rsidRDefault="008C0A68" w:rsidP="008C0A68">
      <w:pPr>
        <w:pStyle w:val="a1"/>
        <w:numPr>
          <w:ilvl w:val="0"/>
          <w:numId w:val="0"/>
        </w:numPr>
        <w:ind w:left="426"/>
      </w:pPr>
      <w:r w:rsidRPr="005C3E39">
        <w:lastRenderedPageBreak/>
        <w:t>r  - ставка        дисконтирования    в   процентах   годовых, определенная в соответствии с настоящими Правилами.</w:t>
      </w:r>
    </w:p>
    <w:p w14:paraId="19FF8A8B" w14:textId="77777777" w:rsidR="008C0A68" w:rsidRPr="005C3E39" w:rsidRDefault="008C0A68" w:rsidP="008C0A68">
      <w:pPr>
        <w:pStyle w:val="a1"/>
        <w:numPr>
          <w:ilvl w:val="0"/>
          <w:numId w:val="0"/>
        </w:numPr>
        <w:ind w:left="426"/>
      </w:pPr>
    </w:p>
    <w:p w14:paraId="7B72BBBA" w14:textId="77777777" w:rsidR="008C0A68" w:rsidRPr="005C3E39" w:rsidRDefault="008C0A68" w:rsidP="008C0A68">
      <w:pPr>
        <w:pStyle w:val="a1"/>
        <w:numPr>
          <w:ilvl w:val="0"/>
          <w:numId w:val="0"/>
        </w:numPr>
        <w:ind w:left="426"/>
      </w:pPr>
      <w:r w:rsidRPr="005C3E39">
        <w:t>Для учета в справедливой стоимости обесценения происходит корректировка величины ожидаемых денежных потоков (</w:t>
      </w:r>
      <m:oMath>
        <m:sSub>
          <m:sSubPr>
            <m:ctrlPr>
              <w:rPr>
                <w:rFonts w:ascii="Cambria Math" w:hAnsi="Cambria Math"/>
              </w:rPr>
            </m:ctrlPr>
          </m:sSubPr>
          <m:e>
            <m:r>
              <w:rPr>
                <w:rFonts w:ascii="Cambria Math" w:hAnsi="Cambria Math"/>
              </w:rPr>
              <m:t>P</m:t>
            </m:r>
          </m:e>
          <m:sub>
            <m:r>
              <w:rPr>
                <w:rFonts w:ascii="Cambria Math" w:hAnsi="Cambria Math"/>
              </w:rPr>
              <m:t>n</m:t>
            </m:r>
          </m:sub>
        </m:sSub>
      </m:oMath>
      <w:r w:rsidRPr="005C3E39">
        <w:t>) в соответствии с Приложением 3 к настоящим Правилами определения СЧА.</w:t>
      </w:r>
    </w:p>
    <w:p w14:paraId="7B98C87A" w14:textId="77777777" w:rsidR="008C0A68" w:rsidRPr="005C3E39" w:rsidRDefault="008C0A68" w:rsidP="008C0A68">
      <w:pPr>
        <w:pStyle w:val="a1"/>
        <w:numPr>
          <w:ilvl w:val="0"/>
          <w:numId w:val="0"/>
        </w:numPr>
        <w:ind w:left="426"/>
      </w:pPr>
    </w:p>
    <w:p w14:paraId="2F4FDE8B" w14:textId="77777777" w:rsidR="008C0A68" w:rsidRPr="005C3E39" w:rsidRDefault="008C0A68" w:rsidP="008C0A68">
      <w:pPr>
        <w:pStyle w:val="a1"/>
        <w:numPr>
          <w:ilvl w:val="0"/>
          <w:numId w:val="0"/>
        </w:numPr>
        <w:ind w:left="426"/>
      </w:pPr>
      <w:r w:rsidRPr="005C3E39">
        <w:t>Денежные потоки, включая процентный доход, рассчитываются в соответствии с условиями договора, датой денежного потока считается ожидаемая дата, в которую планируется поступление денежных средств, соответствующая дате окончания n-ого периода (за исключением случаев досрочного погашения основного долга).</w:t>
      </w:r>
    </w:p>
    <w:p w14:paraId="26193577" w14:textId="77777777" w:rsidR="008C0A68" w:rsidRPr="005C3E39" w:rsidRDefault="008C0A68" w:rsidP="008C0A68">
      <w:pPr>
        <w:pStyle w:val="a1"/>
        <w:numPr>
          <w:ilvl w:val="0"/>
          <w:numId w:val="0"/>
        </w:numPr>
        <w:ind w:left="426"/>
      </w:pPr>
      <w:r w:rsidRPr="005C3E39">
        <w:t>Суммы денежных потоков рассчитываются с учетом капитализации процентных доходов, если это предусмотрено условиями договора.</w:t>
      </w:r>
    </w:p>
    <w:p w14:paraId="3024EE33" w14:textId="77777777" w:rsidR="008C0A68" w:rsidRPr="005C3E39" w:rsidRDefault="008C0A68" w:rsidP="008C0A68">
      <w:pPr>
        <w:pStyle w:val="a1"/>
        <w:numPr>
          <w:ilvl w:val="0"/>
          <w:numId w:val="0"/>
        </w:numPr>
        <w:ind w:left="426"/>
      </w:pPr>
      <w:r w:rsidRPr="005C3E39">
        <w:t xml:space="preserve">График денежных потоков корректируется в случае: </w:t>
      </w:r>
    </w:p>
    <w:p w14:paraId="13D2D772" w14:textId="77777777" w:rsidR="008C0A68" w:rsidRPr="005C3E39" w:rsidRDefault="008C0A68" w:rsidP="008C0A68">
      <w:pPr>
        <w:pStyle w:val="a1"/>
        <w:numPr>
          <w:ilvl w:val="0"/>
          <w:numId w:val="0"/>
        </w:numPr>
        <w:ind w:left="426"/>
      </w:pPr>
      <w:r w:rsidRPr="005C3E39">
        <w:t>- внесения изменений в договор (в т.ч. в части изменения ставки по договору, срока действия договора, периодичности или сроков выплаты процентных доходов);</w:t>
      </w:r>
    </w:p>
    <w:p w14:paraId="1A9FFDBE" w14:textId="77777777" w:rsidR="008C0A68" w:rsidRPr="005C3E39" w:rsidRDefault="008C0A68" w:rsidP="008C0A68">
      <w:pPr>
        <w:pStyle w:val="a1"/>
        <w:numPr>
          <w:ilvl w:val="0"/>
          <w:numId w:val="0"/>
        </w:numPr>
        <w:ind w:left="426"/>
      </w:pPr>
      <w:r w:rsidRPr="005C3E39">
        <w:t>- изменения суммы основного долга (пополнения, частичного погашения, если оно не было учтено графиком).</w:t>
      </w:r>
    </w:p>
    <w:p w14:paraId="06D626E3" w14:textId="77777777" w:rsidR="008C0A68" w:rsidRPr="005C3E39" w:rsidRDefault="008C0A68" w:rsidP="008C0A68">
      <w:pPr>
        <w:pStyle w:val="a1"/>
        <w:numPr>
          <w:ilvl w:val="0"/>
          <w:numId w:val="0"/>
        </w:numPr>
        <w:ind w:left="426"/>
      </w:pPr>
      <w:r w:rsidRPr="005C3E39">
        <w:t xml:space="preserve">    </w:t>
      </w:r>
    </w:p>
    <w:p w14:paraId="609E832B" w14:textId="77777777" w:rsidR="008C0A68" w:rsidRPr="005C3E39" w:rsidRDefault="008C0A68" w:rsidP="008C0A68">
      <w:pPr>
        <w:pStyle w:val="a1"/>
        <w:numPr>
          <w:ilvl w:val="0"/>
          <w:numId w:val="0"/>
        </w:numPr>
        <w:ind w:left="426"/>
      </w:pPr>
      <w:r w:rsidRPr="005C3E39">
        <w:t>Порядок проверки рыночности ставки дисконтирования и корректировки при отклонении.</w:t>
      </w:r>
    </w:p>
    <w:p w14:paraId="3C1AE502" w14:textId="77777777" w:rsidR="008C0A68" w:rsidRPr="005C3E39" w:rsidRDefault="008C0A68" w:rsidP="008C0A68">
      <w:pPr>
        <w:pStyle w:val="a1"/>
        <w:numPr>
          <w:ilvl w:val="0"/>
          <w:numId w:val="0"/>
        </w:numPr>
        <w:ind w:left="426"/>
      </w:pPr>
    </w:p>
    <w:p w14:paraId="6ED05624" w14:textId="77777777" w:rsidR="008C0A68" w:rsidRPr="005C3E39" w:rsidRDefault="008C0A68" w:rsidP="008C0A68">
      <w:pPr>
        <w:pStyle w:val="a1"/>
        <w:numPr>
          <w:ilvl w:val="0"/>
          <w:numId w:val="0"/>
        </w:numPr>
        <w:ind w:left="426"/>
      </w:pPr>
      <w:r w:rsidRPr="005C3E39">
        <w:t>Ставка дисконтирования равна ставке, предусмотренной договором в течение максимального срока, если ее  значение находится в пределах диапазона колебаний рыночной ставки на горизонте 3 месяцев с учетом последней раскрытой ставки.</w:t>
      </w:r>
    </w:p>
    <w:p w14:paraId="498589CE" w14:textId="77777777" w:rsidR="008C0A68" w:rsidRPr="005C3E39" w:rsidRDefault="008C0A68" w:rsidP="008C0A68">
      <w:pPr>
        <w:pStyle w:val="a1"/>
        <w:numPr>
          <w:ilvl w:val="0"/>
          <w:numId w:val="0"/>
        </w:numPr>
        <w:ind w:left="426"/>
      </w:pPr>
      <w:r w:rsidRPr="005C3E39">
        <w:t>Диапазон рыночных ставок определяется в пределах (включительно):</w:t>
      </w:r>
    </w:p>
    <w:p w14:paraId="23047EE0" w14:textId="77777777" w:rsidR="008C0A68" w:rsidRPr="005C3E39" w:rsidRDefault="008C0A68" w:rsidP="008C0A68">
      <w:pPr>
        <w:pStyle w:val="a1"/>
        <w:numPr>
          <w:ilvl w:val="0"/>
          <w:numId w:val="0"/>
        </w:numPr>
        <w:ind w:left="426"/>
      </w:pPr>
      <w:r w:rsidRPr="005C3E39">
        <w:t>от минимальной рыночной ставки, равной значению рыночной ставки на горизонте 3 месяцев с учетом последней раскрытой ставки, уменьшенному на величину спреда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рын.мин</m:t>
            </m:r>
          </m:sub>
        </m:sSub>
      </m:oMath>
      <w:r w:rsidRPr="005C3E39">
        <w:t>),</w:t>
      </w:r>
    </w:p>
    <w:p w14:paraId="7E842572" w14:textId="77777777" w:rsidR="008C0A68" w:rsidRPr="005C3E39" w:rsidRDefault="008C0A68" w:rsidP="008C0A68">
      <w:pPr>
        <w:pStyle w:val="a1"/>
        <w:numPr>
          <w:ilvl w:val="0"/>
          <w:numId w:val="0"/>
        </w:numPr>
        <w:ind w:left="426"/>
      </w:pPr>
      <w:r w:rsidRPr="005C3E39">
        <w:t>до максимальной рыночной ставки, равной значению рыночной ставки на горизонте 3 месяцев с учетом последней раскрытой ставки, увеличенному на величину спреда (</w:t>
      </w:r>
      <m:oMath>
        <m:sSub>
          <m:sSubPr>
            <m:ctrlPr>
              <w:rPr>
                <w:rFonts w:ascii="Cambria Math" w:hAnsi="Cambria Math"/>
              </w:rPr>
            </m:ctrlPr>
          </m:sSubPr>
          <m:e>
            <m:r>
              <w:rPr>
                <w:rFonts w:ascii="Cambria Math" w:hAnsi="Cambria Math"/>
              </w:rPr>
              <m:t>r</m:t>
            </m:r>
          </m:e>
          <m:sub>
            <m:r>
              <m:rPr>
                <m:sty m:val="p"/>
              </m:rPr>
              <w:rPr>
                <w:rFonts w:ascii="Cambria Math" w:hAnsi="Cambria Math"/>
              </w:rPr>
              <m:t>рын.макс</m:t>
            </m:r>
          </m:sub>
        </m:sSub>
      </m:oMath>
      <w:r w:rsidRPr="005C3E39">
        <w:t>).</w:t>
      </w:r>
    </w:p>
    <w:p w14:paraId="2E9D90F5" w14:textId="77777777" w:rsidR="008C0A68" w:rsidRPr="005C3E39" w:rsidRDefault="008C0A68" w:rsidP="008C0A68">
      <w:pPr>
        <w:pStyle w:val="a1"/>
        <w:numPr>
          <w:ilvl w:val="0"/>
          <w:numId w:val="0"/>
        </w:numPr>
        <w:ind w:left="426"/>
      </w:pPr>
    </w:p>
    <w:p w14:paraId="6DCEDB4C" w14:textId="77777777" w:rsidR="008C0A68" w:rsidRPr="005C3E39" w:rsidRDefault="008C0A68" w:rsidP="008C0A68">
      <w:pPr>
        <w:pStyle w:val="a1"/>
        <w:numPr>
          <w:ilvl w:val="0"/>
          <w:numId w:val="0"/>
        </w:numPr>
        <w:ind w:left="426"/>
      </w:pPr>
      <w:r w:rsidRPr="005C3E39">
        <w:t>Спред (допустимое отклонение в процентах от значения рыночной ставки) устанавливается в размере стандартного отклонение (</w:t>
      </w:r>
      <m:oMath>
        <m:r>
          <m:rPr>
            <m:sty m:val="p"/>
          </m:rPr>
          <w:rPr>
            <w:rFonts w:ascii="Cambria Math" w:hAnsi="Cambria Math"/>
          </w:rPr>
          <m:t>σ</m:t>
        </m:r>
      </m:oMath>
      <w:r w:rsidRPr="005C3E39">
        <w:t>) рыночных ставок на горизонте 3 месяцев с учетом последней раскрытой рыночной ставки и определяется по формуле:</w:t>
      </w:r>
    </w:p>
    <w:p w14:paraId="33BFD9B6" w14:textId="77777777" w:rsidR="008C0A68" w:rsidRPr="005C3E39" w:rsidRDefault="008C0A68" w:rsidP="008C0A68">
      <w:pPr>
        <w:pStyle w:val="a1"/>
        <w:numPr>
          <w:ilvl w:val="0"/>
          <w:numId w:val="0"/>
        </w:numPr>
        <w:ind w:left="426"/>
      </w:pPr>
    </w:p>
    <w:p w14:paraId="620FF28F" w14:textId="77777777" w:rsidR="008C0A68" w:rsidRPr="005C3E39" w:rsidRDefault="008C0A68" w:rsidP="008C0A68">
      <w:pPr>
        <w:pStyle w:val="a1"/>
        <w:numPr>
          <w:ilvl w:val="0"/>
          <w:numId w:val="0"/>
        </w:numPr>
        <w:ind w:left="426"/>
      </w:pPr>
      <m:oMath>
        <m:r>
          <m:rPr>
            <m:sty m:val="p"/>
          </m:rPr>
          <w:rPr>
            <w:rFonts w:ascii="Cambria Math" w:hAnsi="Cambria Math" w:hint="eastAsia"/>
          </w:rPr>
          <m:t>σ</m:t>
        </m:r>
        <m:r>
          <m:rPr>
            <m:sty m:val="p"/>
          </m:rPr>
          <w:rPr>
            <w:rFonts w:ascii="Cambria Math" w:hAnsi="Cambria Math"/>
          </w:rPr>
          <m:t xml:space="preserve">=ОКРУГЛ ( </m:t>
        </m:r>
        <m:rad>
          <m:radPr>
            <m:degHide m:val="1"/>
            <m:ctrlPr>
              <w:rPr>
                <w:rFonts w:ascii="Cambria Math" w:hAnsi="Cambria Math"/>
              </w:rPr>
            </m:ctrlPr>
          </m:radPr>
          <m:deg/>
          <m:e>
            <m:f>
              <m:fPr>
                <m:ctrlPr>
                  <w:rPr>
                    <w:rFonts w:ascii="Cambria Math" w:hAnsi="Cambria Math"/>
                  </w:rPr>
                </m:ctrlPr>
              </m:fPr>
              <m:num>
                <m:sSup>
                  <m:sSupPr>
                    <m:ctrlPr>
                      <w:rPr>
                        <w:rFonts w:ascii="Cambria Math" w:hAnsi="Cambria Math"/>
                      </w:rPr>
                    </m:ctrlPr>
                  </m:sSup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m:rPr>
                            <m:sty m:val="p"/>
                          </m:rPr>
                          <w:rPr>
                            <w:rFonts w:ascii="Cambria Math" w:hAnsi="Cambria Math"/>
                          </w:rPr>
                          <m:t>3</m:t>
                        </m:r>
                      </m:sup>
                      <m:e>
                        <m:r>
                          <m:rPr>
                            <m:sty m:val="p"/>
                          </m:rPr>
                          <w:rPr>
                            <w:rFonts w:ascii="Cambria Math" w:hAnsi="Cambria Math"/>
                          </w:rPr>
                          <m:t>(</m:t>
                        </m:r>
                        <m:sSub>
                          <m:sSubPr>
                            <m:ctrlPr>
                              <w:rPr>
                                <w:rFonts w:ascii="Cambria Math" w:hAnsi="Cambria Math"/>
                              </w:rPr>
                            </m:ctrlPr>
                          </m:sSubPr>
                          <m:e>
                            <m:r>
                              <w:rPr>
                                <w:rFonts w:ascii="Cambria Math" w:hAnsi="Cambria Math"/>
                              </w:rPr>
                              <m:t>r</m:t>
                            </m:r>
                          </m:e>
                          <m:sub>
                            <m:sSub>
                              <m:sSubPr>
                                <m:ctrlPr>
                                  <w:rPr>
                                    <w:rFonts w:ascii="Cambria Math" w:hAnsi="Cambria Math"/>
                                  </w:rPr>
                                </m:ctrlPr>
                              </m:sSubPr>
                              <m:e>
                                <m:r>
                                  <m:rPr>
                                    <m:sty m:val="p"/>
                                  </m:rPr>
                                  <w:rPr>
                                    <w:rFonts w:ascii="Cambria Math" w:hAnsi="Cambria Math" w:hint="eastAsia"/>
                                  </w:rPr>
                                  <m:t>рын</m:t>
                                </m:r>
                              </m:e>
                              <m:sub>
                                <m:r>
                                  <w:rPr>
                                    <w:rFonts w:ascii="Cambria Math" w:hAnsi="Cambria Math"/>
                                  </w:rPr>
                                  <m:t>i</m:t>
                                </m:r>
                              </m:sub>
                            </m:sSub>
                          </m:sub>
                        </m:sSub>
                      </m:e>
                    </m:nary>
                    <m:r>
                      <m:rPr>
                        <m:sty m:val="p"/>
                      </m:rPr>
                      <w:rPr>
                        <w:rFonts w:ascii="Cambria Math" w:hAnsi="Cambria Math"/>
                      </w:rPr>
                      <m:t>-</m:t>
                    </m:r>
                    <m:bar>
                      <m:barPr>
                        <m:pos m:val="top"/>
                        <m:ctrlPr>
                          <w:rPr>
                            <w:rFonts w:ascii="Cambria Math" w:hAnsi="Cambria Math"/>
                          </w:rPr>
                        </m:ctrlPr>
                      </m:barPr>
                      <m:e>
                        <m:sSub>
                          <m:sSubPr>
                            <m:ctrlPr>
                              <w:rPr>
                                <w:rFonts w:ascii="Cambria Math" w:hAnsi="Cambria Math"/>
                              </w:rPr>
                            </m:ctrlPr>
                          </m:sSubPr>
                          <m:e>
                            <m:r>
                              <w:rPr>
                                <w:rFonts w:ascii="Cambria Math" w:hAnsi="Cambria Math"/>
                              </w:rPr>
                              <m:t>r</m:t>
                            </m:r>
                          </m:e>
                          <m:sub>
                            <m:r>
                              <m:rPr>
                                <m:sty m:val="p"/>
                              </m:rPr>
                              <w:rPr>
                                <w:rFonts w:ascii="Cambria Math" w:hAnsi="Cambria Math" w:hint="eastAsia"/>
                              </w:rPr>
                              <m:t>рын</m:t>
                            </m:r>
                          </m:sub>
                        </m:sSub>
                      </m:e>
                    </m:bar>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3</m:t>
                </m:r>
              </m:den>
            </m:f>
          </m:e>
        </m:rad>
      </m:oMath>
      <w:r w:rsidRPr="005C3E39">
        <w:t>; 2)</w:t>
      </w:r>
    </w:p>
    <w:p w14:paraId="18D930D1" w14:textId="77777777" w:rsidR="008C0A68" w:rsidRPr="005C3E39" w:rsidRDefault="008C0A68" w:rsidP="008C0A68">
      <w:pPr>
        <w:pStyle w:val="a1"/>
        <w:numPr>
          <w:ilvl w:val="0"/>
          <w:numId w:val="0"/>
        </w:numPr>
        <w:ind w:left="426"/>
      </w:pPr>
    </w:p>
    <w:p w14:paraId="5F3285BC" w14:textId="77777777" w:rsidR="008C0A68" w:rsidRPr="005C3E39" w:rsidRDefault="008C0A68" w:rsidP="008C0A68">
      <w:pPr>
        <w:pStyle w:val="a1"/>
        <w:numPr>
          <w:ilvl w:val="0"/>
          <w:numId w:val="0"/>
        </w:numPr>
        <w:ind w:left="426"/>
      </w:pPr>
      <w:r w:rsidRPr="005C3E39">
        <w:t>где:</w:t>
      </w:r>
      <w:r w:rsidRPr="005C3E39">
        <w:tab/>
      </w:r>
    </w:p>
    <w:p w14:paraId="304165E6" w14:textId="77777777" w:rsidR="008C0A68" w:rsidRPr="005C3E39" w:rsidRDefault="008C0A68" w:rsidP="008C0A68">
      <w:pPr>
        <w:pStyle w:val="a1"/>
        <w:numPr>
          <w:ilvl w:val="0"/>
          <w:numId w:val="0"/>
        </w:numPr>
        <w:ind w:left="426"/>
      </w:pPr>
      <m:oMath>
        <m:r>
          <m:rPr>
            <m:sty m:val="p"/>
          </m:rPr>
          <w:rPr>
            <w:rFonts w:ascii="Cambria Math" w:hAnsi="Cambria Math"/>
          </w:rPr>
          <m:t>σ</m:t>
        </m:r>
      </m:oMath>
      <w:r w:rsidRPr="005C3E39">
        <w:tab/>
      </w:r>
      <w:r w:rsidRPr="005C3E39">
        <w:tab/>
        <w:t xml:space="preserve"> – </w:t>
      </w:r>
      <w:r w:rsidRPr="005C3E39">
        <w:tab/>
        <w:t>стандартное отклонение рыночных ставок;</w:t>
      </w:r>
    </w:p>
    <w:p w14:paraId="57EEF1E9" w14:textId="77777777" w:rsidR="008C0A68" w:rsidRPr="005C3E39" w:rsidRDefault="002B470C" w:rsidP="008C0A68">
      <w:pPr>
        <w:pStyle w:val="a1"/>
        <w:numPr>
          <w:ilvl w:val="0"/>
          <w:numId w:val="0"/>
        </w:numPr>
        <w:ind w:left="426"/>
      </w:pPr>
      <m:oMath>
        <m:sSub>
          <m:sSubPr>
            <m:ctrlPr>
              <w:rPr>
                <w:rFonts w:ascii="Cambria Math" w:hAnsi="Cambria Math"/>
              </w:rPr>
            </m:ctrlPr>
          </m:sSubPr>
          <m:e>
            <m:r>
              <w:rPr>
                <w:rFonts w:ascii="Cambria Math" w:hAnsi="Cambria Math"/>
              </w:rPr>
              <m:t>r</m:t>
            </m:r>
          </m:e>
          <m:sub>
            <m:sSub>
              <m:sSubPr>
                <m:ctrlPr>
                  <w:rPr>
                    <w:rFonts w:ascii="Cambria Math" w:hAnsi="Cambria Math"/>
                  </w:rPr>
                </m:ctrlPr>
              </m:sSubPr>
              <m:e>
                <m:r>
                  <m:rPr>
                    <m:sty m:val="p"/>
                  </m:rPr>
                  <w:rPr>
                    <w:rFonts w:ascii="Cambria Math" w:hAnsi="Cambria Math"/>
                  </w:rPr>
                  <m:t>рын</m:t>
                </m:r>
              </m:e>
              <m:sub>
                <m:r>
                  <w:rPr>
                    <w:rFonts w:ascii="Cambria Math" w:hAnsi="Cambria Math"/>
                  </w:rPr>
                  <m:t>i</m:t>
                </m:r>
              </m:sub>
            </m:sSub>
          </m:sub>
        </m:sSub>
      </m:oMath>
      <w:r w:rsidR="008C0A68" w:rsidRPr="005C3E39">
        <w:t xml:space="preserve"> </w:t>
      </w:r>
      <w:r w:rsidR="008C0A68" w:rsidRPr="005C3E39">
        <w:tab/>
        <w:t xml:space="preserve">– </w:t>
      </w:r>
      <w:r w:rsidR="008C0A68" w:rsidRPr="005C3E39">
        <w:tab/>
        <w:t>значение рыночной ставки;</w:t>
      </w:r>
    </w:p>
    <w:p w14:paraId="04C34AD2" w14:textId="77777777" w:rsidR="008C0A68" w:rsidRPr="005C3E39" w:rsidRDefault="002B470C" w:rsidP="008C0A68">
      <w:pPr>
        <w:pStyle w:val="a1"/>
        <w:numPr>
          <w:ilvl w:val="0"/>
          <w:numId w:val="0"/>
        </w:numPr>
        <w:ind w:left="426"/>
      </w:pPr>
      <m:oMath>
        <m:bar>
          <m:barPr>
            <m:pos m:val="top"/>
            <m:ctrlPr>
              <w:rPr>
                <w:rFonts w:ascii="Cambria Math" w:hAnsi="Cambria Math"/>
              </w:rPr>
            </m:ctrlPr>
          </m:barPr>
          <m:e>
            <m:sSub>
              <m:sSubPr>
                <m:ctrlPr>
                  <w:rPr>
                    <w:rFonts w:ascii="Cambria Math" w:hAnsi="Cambria Math"/>
                  </w:rPr>
                </m:ctrlPr>
              </m:sSubPr>
              <m:e>
                <m:r>
                  <w:rPr>
                    <w:rFonts w:ascii="Cambria Math" w:hAnsi="Cambria Math"/>
                  </w:rPr>
                  <m:t>r</m:t>
                </m:r>
              </m:e>
              <m:sub>
                <m:r>
                  <m:rPr>
                    <m:sty m:val="p"/>
                  </m:rPr>
                  <w:rPr>
                    <w:rFonts w:ascii="Cambria Math" w:hAnsi="Cambria Math"/>
                  </w:rPr>
                  <m:t>рын</m:t>
                </m:r>
              </m:sub>
            </m:sSub>
          </m:e>
        </m:bar>
      </m:oMath>
      <w:r w:rsidR="008C0A68" w:rsidRPr="005C3E39">
        <w:t xml:space="preserve"> </w:t>
      </w:r>
      <w:r w:rsidR="008C0A68" w:rsidRPr="005C3E39">
        <w:tab/>
        <w:t>–</w:t>
      </w:r>
      <w:r w:rsidR="008C0A68" w:rsidRPr="005C3E39">
        <w:tab/>
        <w:t xml:space="preserve"> среднее значение рыночной ставки из генеральной совокупности рыночных ставок за 3 месяца.</w:t>
      </w:r>
    </w:p>
    <w:p w14:paraId="5319FF3A" w14:textId="77777777" w:rsidR="008C0A68" w:rsidRPr="005C3E39" w:rsidRDefault="008C0A68" w:rsidP="008C0A68">
      <w:pPr>
        <w:pStyle w:val="a1"/>
        <w:numPr>
          <w:ilvl w:val="0"/>
          <w:numId w:val="0"/>
        </w:numPr>
        <w:ind w:left="426"/>
      </w:pPr>
      <w:r w:rsidRPr="005C3E39">
        <w:t xml:space="preserve">Значение </w:t>
      </w:r>
      <m:oMath>
        <m:r>
          <m:rPr>
            <m:sty m:val="p"/>
          </m:rPr>
          <w:rPr>
            <w:rFonts w:ascii="Cambria Math" w:hAnsi="Cambria Math"/>
          </w:rPr>
          <m:t>σ</m:t>
        </m:r>
      </m:oMath>
      <w:r w:rsidRPr="005C3E39">
        <w:t xml:space="preserve"> рассчитывается без промежуточных округлений и соответствует значению в процентах, округленному до 2 знаков после запятой.</w:t>
      </w:r>
    </w:p>
    <w:p w14:paraId="276142F7" w14:textId="77777777" w:rsidR="008C0A68" w:rsidRPr="005C3E39" w:rsidRDefault="008C0A68" w:rsidP="008C0A68">
      <w:pPr>
        <w:pStyle w:val="a1"/>
        <w:numPr>
          <w:ilvl w:val="0"/>
          <w:numId w:val="0"/>
        </w:numPr>
        <w:ind w:left="426"/>
      </w:pPr>
      <w:r w:rsidRPr="005C3E39">
        <w:t>Ставка по договору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дог</m:t>
            </m:r>
          </m:sub>
        </m:sSub>
        <m:r>
          <m:rPr>
            <m:sty m:val="p"/>
          </m:rPr>
          <w:rPr>
            <w:rFonts w:ascii="Cambria Math" w:hAnsi="Cambria Math"/>
          </w:rPr>
          <m:t>)</m:t>
        </m:r>
      </m:oMath>
      <w:r w:rsidRPr="005C3E39">
        <w:t xml:space="preserve"> применяется в качестве ставки дисконтирования, если соблюдается условие:</w:t>
      </w:r>
    </w:p>
    <w:p w14:paraId="5952D0F9" w14:textId="77777777" w:rsidR="008C0A68" w:rsidRPr="005C3E39" w:rsidRDefault="008C0A68" w:rsidP="008C0A68">
      <w:pPr>
        <w:pStyle w:val="a1"/>
        <w:numPr>
          <w:ilvl w:val="0"/>
          <w:numId w:val="0"/>
        </w:numPr>
        <w:ind w:left="426"/>
      </w:pPr>
      <m:oMath>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рын.мин</m:t>
            </m:r>
          </m:sub>
        </m:sSub>
        <m:r>
          <m:rPr>
            <m:sty m:val="p"/>
          </m:rPr>
          <w:rPr>
            <w:rFonts w:ascii="Cambria Math" w:hAnsi="Cambria Math"/>
          </w:rPr>
          <m:t>-σ)≤</m:t>
        </m:r>
        <m:sSub>
          <m:sSubPr>
            <m:ctrlPr>
              <w:rPr>
                <w:rFonts w:ascii="Cambria Math" w:hAnsi="Cambria Math"/>
              </w:rPr>
            </m:ctrlPr>
          </m:sSubPr>
          <m:e>
            <m:r>
              <w:rPr>
                <w:rFonts w:ascii="Cambria Math" w:hAnsi="Cambria Math"/>
              </w:rPr>
              <m:t>r</m:t>
            </m:r>
          </m:e>
          <m:sub>
            <m:r>
              <m:rPr>
                <m:sty m:val="p"/>
              </m:rPr>
              <w:rPr>
                <w:rFonts w:ascii="Cambria Math" w:hAnsi="Cambria Math"/>
              </w:rPr>
              <m:t>дог</m:t>
            </m:r>
          </m:sub>
        </m:sSub>
        <m:r>
          <m:rPr>
            <m:sty m:val="p"/>
          </m:rPr>
          <w:rPr>
            <w:rFonts w:ascii="Cambria Math" w:hAnsi="Cambria Math"/>
          </w:rPr>
          <m:t>≤</m:t>
        </m:r>
      </m:oMath>
      <w:r w:rsidRPr="005C3E39">
        <w:t xml:space="preserve"> </w:t>
      </w:r>
      <m:oMath>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рын.макс</m:t>
            </m:r>
          </m:sub>
        </m:sSub>
        <m:r>
          <m:rPr>
            <m:sty m:val="p"/>
          </m:rPr>
          <w:rPr>
            <w:rFonts w:ascii="Cambria Math" w:hAnsi="Cambria Math"/>
          </w:rPr>
          <m:t>+σ)</m:t>
        </m:r>
      </m:oMath>
    </w:p>
    <w:p w14:paraId="5927D917" w14:textId="77777777" w:rsidR="008C0A68" w:rsidRPr="005C3E39" w:rsidRDefault="008C0A68" w:rsidP="008C0A68">
      <w:pPr>
        <w:pStyle w:val="a1"/>
        <w:numPr>
          <w:ilvl w:val="0"/>
          <w:numId w:val="0"/>
        </w:numPr>
        <w:ind w:left="426"/>
      </w:pPr>
    </w:p>
    <w:p w14:paraId="68C03220" w14:textId="1EA8629D" w:rsidR="008C0A68" w:rsidRPr="005C3E39" w:rsidRDefault="008C0A68" w:rsidP="008C0A68">
      <w:pPr>
        <w:pStyle w:val="a1"/>
        <w:numPr>
          <w:ilvl w:val="0"/>
          <w:numId w:val="0"/>
        </w:numPr>
        <w:ind w:left="426"/>
      </w:pPr>
      <w:r w:rsidRPr="005C3E39">
        <w:lastRenderedPageBreak/>
        <w:t xml:space="preserve">В качестве рыночных ставок для депозитов применяются значения средневзвешенных </w:t>
      </w:r>
      <w:r w:rsidRPr="0091184E">
        <w:t>процентных ставок по привлеченным кредитными организациями вкладам (депозитам)</w:t>
      </w:r>
      <w:r w:rsidRPr="002E5E19">
        <w:t xml:space="preserve"> нефинансовых организаций в рублях и иностранной валюте,  раскрываемые на официальном сайте Банка России.</w:t>
      </w:r>
      <w:r w:rsidRPr="005C3E39">
        <w:t xml:space="preserve"> </w:t>
      </w:r>
    </w:p>
    <w:p w14:paraId="304FEF9C" w14:textId="77777777" w:rsidR="008C0A68" w:rsidRPr="005C3E39" w:rsidRDefault="008C0A68" w:rsidP="008C0A68">
      <w:pPr>
        <w:pStyle w:val="a1"/>
        <w:numPr>
          <w:ilvl w:val="0"/>
          <w:numId w:val="0"/>
        </w:numPr>
        <w:ind w:left="426"/>
      </w:pPr>
      <w:r w:rsidRPr="005C3E39">
        <w:t xml:space="preserve">  </w:t>
      </w:r>
    </w:p>
    <w:p w14:paraId="05A8026D" w14:textId="77777777" w:rsidR="008C0A68" w:rsidRPr="005C3E39" w:rsidRDefault="008C0A68" w:rsidP="008C0A68">
      <w:pPr>
        <w:pStyle w:val="a1"/>
        <w:numPr>
          <w:ilvl w:val="0"/>
          <w:numId w:val="0"/>
        </w:numPr>
        <w:ind w:left="426"/>
      </w:pPr>
      <w:r w:rsidRPr="005C3E39">
        <w:t>Средневзвешенные ставки определяются с использованием шкалы (развернутой), включающей позиции:</w:t>
      </w:r>
    </w:p>
    <w:p w14:paraId="1971BF68" w14:textId="77777777" w:rsidR="008C0A68" w:rsidRPr="005C3E39" w:rsidRDefault="008C0A68" w:rsidP="008C0A68">
      <w:pPr>
        <w:pStyle w:val="a1"/>
        <w:numPr>
          <w:ilvl w:val="0"/>
          <w:numId w:val="0"/>
        </w:numPr>
        <w:ind w:left="426"/>
      </w:pPr>
      <w:r w:rsidRPr="005C3E39">
        <w:t>до 30 дней, кроме до востребования</w:t>
      </w:r>
    </w:p>
    <w:p w14:paraId="3BC8A7E9" w14:textId="77777777" w:rsidR="008C0A68" w:rsidRPr="005C3E39" w:rsidRDefault="008C0A68" w:rsidP="008C0A68">
      <w:pPr>
        <w:pStyle w:val="a1"/>
        <w:numPr>
          <w:ilvl w:val="0"/>
          <w:numId w:val="0"/>
        </w:numPr>
        <w:ind w:left="426"/>
      </w:pPr>
      <w:r w:rsidRPr="005C3E39">
        <w:t>от 31 до 90 календарных дней;</w:t>
      </w:r>
    </w:p>
    <w:p w14:paraId="1BDE7927" w14:textId="77777777" w:rsidR="008C0A68" w:rsidRPr="005C3E39" w:rsidRDefault="008C0A68" w:rsidP="008C0A68">
      <w:pPr>
        <w:pStyle w:val="a1"/>
        <w:numPr>
          <w:ilvl w:val="0"/>
          <w:numId w:val="0"/>
        </w:numPr>
        <w:ind w:left="426"/>
      </w:pPr>
      <w:r w:rsidRPr="005C3E39">
        <w:t>от 91 до 180 календарных дней;</w:t>
      </w:r>
    </w:p>
    <w:p w14:paraId="40DA8909" w14:textId="77777777" w:rsidR="008C0A68" w:rsidRPr="005C3E39" w:rsidRDefault="008C0A68" w:rsidP="008C0A68">
      <w:pPr>
        <w:pStyle w:val="a1"/>
        <w:numPr>
          <w:ilvl w:val="0"/>
          <w:numId w:val="0"/>
        </w:numPr>
        <w:ind w:left="426"/>
      </w:pPr>
      <w:r w:rsidRPr="005C3E39">
        <w:t>от 181 календарных дней до 1 года;</w:t>
      </w:r>
    </w:p>
    <w:p w14:paraId="1AC7FD22" w14:textId="77777777" w:rsidR="008C0A68" w:rsidRPr="005C3E39" w:rsidRDefault="008C0A68" w:rsidP="008C0A68">
      <w:pPr>
        <w:pStyle w:val="a1"/>
        <w:numPr>
          <w:ilvl w:val="0"/>
          <w:numId w:val="0"/>
        </w:numPr>
        <w:ind w:left="426"/>
      </w:pPr>
      <w:r w:rsidRPr="005C3E39">
        <w:t>от 1 года до 3 лет;</w:t>
      </w:r>
    </w:p>
    <w:p w14:paraId="0546B32F" w14:textId="77777777" w:rsidR="008C0A68" w:rsidRPr="005C3E39" w:rsidRDefault="008C0A68" w:rsidP="008C0A68">
      <w:pPr>
        <w:pStyle w:val="a1"/>
        <w:numPr>
          <w:ilvl w:val="0"/>
          <w:numId w:val="0"/>
        </w:numPr>
        <w:ind w:left="426"/>
      </w:pPr>
      <w:r w:rsidRPr="005C3E39">
        <w:t>свыше 3 лет.</w:t>
      </w:r>
    </w:p>
    <w:p w14:paraId="0454BD89" w14:textId="77777777" w:rsidR="008C0A68" w:rsidRPr="005C3E39" w:rsidRDefault="008C0A68" w:rsidP="008C0A68">
      <w:pPr>
        <w:pStyle w:val="a1"/>
        <w:numPr>
          <w:ilvl w:val="0"/>
          <w:numId w:val="0"/>
        </w:numPr>
        <w:ind w:left="426"/>
      </w:pPr>
    </w:p>
    <w:p w14:paraId="41F7F1BC" w14:textId="77777777" w:rsidR="008C0A68" w:rsidRPr="005C3E39" w:rsidRDefault="008C0A68" w:rsidP="008C0A68">
      <w:pPr>
        <w:pStyle w:val="a1"/>
        <w:numPr>
          <w:ilvl w:val="0"/>
          <w:numId w:val="0"/>
        </w:numPr>
        <w:ind w:left="426"/>
      </w:pPr>
      <w:r w:rsidRPr="005C3E39">
        <w:t>Рыночной ставкой в отношении депозита является значение средневзвешенной процентной ставки за месяц, наиболее близкий к дате определения справедливой стоимости, в валюте, соответствующей валюте депозита, на срок, сопоставимый с ожидаемым сроком размещения, рассчитанным от даты определения справедливой стоимости.</w:t>
      </w:r>
    </w:p>
    <w:p w14:paraId="60017F47" w14:textId="77777777" w:rsidR="008C0A68" w:rsidRPr="005C3E39" w:rsidRDefault="008C0A68" w:rsidP="008C0A68">
      <w:pPr>
        <w:pStyle w:val="a1"/>
        <w:numPr>
          <w:ilvl w:val="0"/>
          <w:numId w:val="0"/>
        </w:numPr>
        <w:ind w:left="426"/>
      </w:pPr>
    </w:p>
    <w:p w14:paraId="347CB9A9" w14:textId="77777777" w:rsidR="008C0A68" w:rsidRPr="005C3E39" w:rsidRDefault="008C0A68" w:rsidP="008C0A68">
      <w:pPr>
        <w:pStyle w:val="a1"/>
        <w:numPr>
          <w:ilvl w:val="0"/>
          <w:numId w:val="0"/>
        </w:numPr>
        <w:ind w:left="426"/>
      </w:pPr>
      <w:r w:rsidRPr="005C3E39">
        <w:t>В случае если между последним днём месяца, по которому опубликованы последние по времени данные о средневзвешенных ставках, и датой определения рыночной ставки произошло изменение ключевой ставки Банка России, то для определения рыночной ставки последняя раскрытая средневзвешенная ставка изменяется пропорционально изменению Ключевой ставки Банка России с последнего числа месяца, за который рассчитана средневзвешенная ставка, до даты определения рыночной ставки. Рассчитанная таким образом рыночная ставка округляется до двух знаков после запятой. Промежуточные округления не производятся.</w:t>
      </w:r>
    </w:p>
    <w:p w14:paraId="2FEB4D54" w14:textId="77777777" w:rsidR="008C0A68" w:rsidRPr="005C3E39" w:rsidRDefault="008C0A68" w:rsidP="008C0A68">
      <w:pPr>
        <w:pStyle w:val="a1"/>
        <w:numPr>
          <w:ilvl w:val="0"/>
          <w:numId w:val="0"/>
        </w:numPr>
        <w:ind w:left="426"/>
      </w:pPr>
    </w:p>
    <w:p w14:paraId="71026D8C" w14:textId="77777777" w:rsidR="008C0A68" w:rsidRPr="005C3E39" w:rsidRDefault="008C0A68" w:rsidP="008C0A68">
      <w:pPr>
        <w:pStyle w:val="a1"/>
        <w:numPr>
          <w:ilvl w:val="0"/>
          <w:numId w:val="0"/>
        </w:numPr>
        <w:ind w:left="426"/>
      </w:pPr>
      <w:r w:rsidRPr="005C3E39">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14:paraId="0531927E" w14:textId="77777777" w:rsidR="008C0A68" w:rsidRPr="005C3E39" w:rsidRDefault="008C0A68" w:rsidP="008C0A68">
      <w:pPr>
        <w:pStyle w:val="a1"/>
        <w:numPr>
          <w:ilvl w:val="0"/>
          <w:numId w:val="0"/>
        </w:numPr>
        <w:ind w:left="426"/>
        <w:rPr>
          <w:b/>
        </w:rPr>
      </w:pPr>
    </w:p>
    <w:p w14:paraId="59CD9E59" w14:textId="77777777" w:rsidR="008C0A68" w:rsidRPr="005C3E39" w:rsidRDefault="008C0A68" w:rsidP="008C0A68">
      <w:pPr>
        <w:pStyle w:val="a1"/>
        <w:numPr>
          <w:ilvl w:val="0"/>
          <w:numId w:val="0"/>
        </w:numPr>
        <w:ind w:left="426"/>
        <w:rPr>
          <w:b/>
          <w:u w:val="single"/>
        </w:rPr>
      </w:pPr>
      <w:r w:rsidRPr="005C3E39">
        <w:rPr>
          <w:b/>
          <w:u w:val="single"/>
        </w:rPr>
        <w:t>Признание и порядок определения справедливой стоимости  ценных бумаг</w:t>
      </w:r>
    </w:p>
    <w:p w14:paraId="4040AD79" w14:textId="77777777" w:rsidR="008C0A68" w:rsidRPr="005C3E39" w:rsidRDefault="008C0A68" w:rsidP="008C0A68">
      <w:pPr>
        <w:pStyle w:val="a1"/>
        <w:numPr>
          <w:ilvl w:val="0"/>
          <w:numId w:val="0"/>
        </w:numPr>
        <w:ind w:left="426"/>
      </w:pPr>
    </w:p>
    <w:p w14:paraId="0C4BDF70" w14:textId="77777777" w:rsidR="008C0A68" w:rsidRPr="005C3E39" w:rsidRDefault="008C0A68" w:rsidP="008C0A68">
      <w:pPr>
        <w:pStyle w:val="a1"/>
        <w:numPr>
          <w:ilvl w:val="0"/>
          <w:numId w:val="0"/>
        </w:numPr>
        <w:ind w:left="426"/>
      </w:pPr>
      <w:r w:rsidRPr="005C3E39">
        <w:rPr>
          <w:i/>
          <w:u w:val="single"/>
        </w:rPr>
        <w:t>Критерием признания</w:t>
      </w:r>
      <w:r w:rsidRPr="005C3E39">
        <w:t xml:space="preserve"> является дата перехода права собственности на ценные бумаги:</w:t>
      </w:r>
    </w:p>
    <w:p w14:paraId="55C7956A" w14:textId="77777777" w:rsidR="008C0A68" w:rsidRPr="005C3E39" w:rsidRDefault="008C0A68" w:rsidP="008C0A68">
      <w:pPr>
        <w:pStyle w:val="a1"/>
        <w:numPr>
          <w:ilvl w:val="0"/>
          <w:numId w:val="0"/>
        </w:numPr>
        <w:ind w:left="426"/>
      </w:pPr>
      <w:r w:rsidRPr="005C3E39">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 </w:t>
      </w:r>
    </w:p>
    <w:p w14:paraId="64BBF985" w14:textId="08C34683" w:rsidR="008C0A68" w:rsidRPr="005C3E39" w:rsidRDefault="008C0A68" w:rsidP="008C0A68">
      <w:pPr>
        <w:pStyle w:val="a1"/>
        <w:numPr>
          <w:ilvl w:val="0"/>
          <w:numId w:val="0"/>
        </w:numPr>
        <w:ind w:left="426"/>
      </w:pPr>
      <w:r w:rsidRPr="005C3E39">
        <w:t>- если документарные ценные бумаги не подлежат учету на счетах депо - с даты приема ценной бумаги Фондом, определенной в соответствии с условиями договора и подтвержденной актом приема передачи ценных бумаг.</w:t>
      </w:r>
    </w:p>
    <w:p w14:paraId="1A604061" w14:textId="77777777" w:rsidR="008C0A68" w:rsidRPr="005C3E39" w:rsidRDefault="008C0A68" w:rsidP="008C0A68">
      <w:pPr>
        <w:pStyle w:val="a1"/>
        <w:numPr>
          <w:ilvl w:val="0"/>
          <w:numId w:val="0"/>
        </w:numPr>
        <w:ind w:left="426"/>
      </w:pPr>
    </w:p>
    <w:p w14:paraId="799293A4" w14:textId="77777777" w:rsidR="008C0A68" w:rsidRPr="005C3E39" w:rsidRDefault="008C0A68" w:rsidP="008C0A68">
      <w:pPr>
        <w:pStyle w:val="a1"/>
        <w:numPr>
          <w:ilvl w:val="0"/>
          <w:numId w:val="0"/>
        </w:numPr>
        <w:ind w:left="426"/>
      </w:pPr>
      <w:r w:rsidRPr="005C3E39">
        <w:rPr>
          <w:i/>
          <w:u w:val="single"/>
        </w:rPr>
        <w:t>Критерием прекращения признания</w:t>
      </w:r>
      <w:r w:rsidRPr="005C3E39">
        <w:t xml:space="preserve"> является дата перехода права собственности на ценные бумаги:</w:t>
      </w:r>
    </w:p>
    <w:p w14:paraId="0736E295" w14:textId="77777777" w:rsidR="008C0A68" w:rsidRPr="005C3E39" w:rsidRDefault="008C0A68" w:rsidP="008C0A68">
      <w:pPr>
        <w:pStyle w:val="a1"/>
        <w:numPr>
          <w:ilvl w:val="0"/>
          <w:numId w:val="0"/>
        </w:numPr>
        <w:ind w:left="426"/>
      </w:pPr>
      <w:r w:rsidRPr="005C3E39">
        <w:t xml:space="preserve">-если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 </w:t>
      </w:r>
    </w:p>
    <w:p w14:paraId="5F9F2619" w14:textId="4674C77D" w:rsidR="008C0A68" w:rsidRPr="005C3E39" w:rsidRDefault="008C0A68" w:rsidP="008C0A68">
      <w:pPr>
        <w:pStyle w:val="a1"/>
        <w:numPr>
          <w:ilvl w:val="0"/>
          <w:numId w:val="0"/>
        </w:numPr>
        <w:ind w:left="426"/>
      </w:pPr>
      <w:r w:rsidRPr="005C3E39">
        <w:t>- если документарные ценные бумаги не подлежат учету на счетах депо - с даты передачи ценной бумаги Фонда, определенной в соответствии с условиями договора и подтвержденной актом приема передачи ценных бумаг;</w:t>
      </w:r>
    </w:p>
    <w:p w14:paraId="77858138" w14:textId="77777777" w:rsidR="008C0A68" w:rsidRPr="005C3E39" w:rsidRDefault="008C0A68" w:rsidP="008C0A68">
      <w:pPr>
        <w:pStyle w:val="a1"/>
        <w:numPr>
          <w:ilvl w:val="0"/>
          <w:numId w:val="0"/>
        </w:numPr>
        <w:ind w:left="426"/>
      </w:pPr>
      <w:r w:rsidRPr="005C3E39">
        <w:lastRenderedPageBreak/>
        <w:t>- дата получения информации о ликвидации эмитента (внесения записи в ЕГРЮЛ о ликвидации).</w:t>
      </w:r>
    </w:p>
    <w:p w14:paraId="57BB3003" w14:textId="77777777" w:rsidR="008C0A68" w:rsidRPr="005C3E39" w:rsidRDefault="008C0A68" w:rsidP="008C0A68">
      <w:pPr>
        <w:pStyle w:val="a1"/>
        <w:numPr>
          <w:ilvl w:val="0"/>
          <w:numId w:val="0"/>
        </w:numPr>
        <w:ind w:left="426"/>
      </w:pPr>
    </w:p>
    <w:p w14:paraId="432DC7DE" w14:textId="77777777" w:rsidR="008C0A68" w:rsidRPr="005C3E39" w:rsidRDefault="008C0A68" w:rsidP="008C0A68">
      <w:pPr>
        <w:pStyle w:val="a1"/>
        <w:numPr>
          <w:ilvl w:val="0"/>
          <w:numId w:val="0"/>
        </w:numPr>
        <w:ind w:left="426"/>
      </w:pPr>
      <w:r w:rsidRPr="005C3E39">
        <w:t>Справедливая стоимость долговых ценных бумаг признается равной 0 (Ноль), в случае наступления даты полного погашения номинала в соответствии с условиями выпуска ценных бумаг - с даты отражения в дебиторской задолженности суммы номинала к получению до даты полного погашения номинала в соответствии с условиями выпуска ценных бумаг.</w:t>
      </w:r>
    </w:p>
    <w:p w14:paraId="4E597540" w14:textId="77777777" w:rsidR="008C0A68" w:rsidRPr="005C3E39" w:rsidRDefault="008C0A68" w:rsidP="008C0A68">
      <w:pPr>
        <w:pStyle w:val="a1"/>
        <w:numPr>
          <w:ilvl w:val="0"/>
          <w:numId w:val="0"/>
        </w:numPr>
        <w:ind w:left="426"/>
      </w:pPr>
    </w:p>
    <w:p w14:paraId="58F3FDC7" w14:textId="77777777" w:rsidR="008C0A68" w:rsidRPr="005C3E39" w:rsidRDefault="008C0A68" w:rsidP="008C0A68">
      <w:pPr>
        <w:pStyle w:val="a1"/>
        <w:numPr>
          <w:ilvl w:val="0"/>
          <w:numId w:val="0"/>
        </w:numPr>
        <w:ind w:left="426"/>
      </w:pPr>
      <w:r w:rsidRPr="005C3E39">
        <w:rPr>
          <w:b/>
          <w:i/>
        </w:rPr>
        <w:t>Активным рынком</w:t>
      </w:r>
      <w:r w:rsidRPr="005C3E39">
        <w:t xml:space="preserve">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14:paraId="235B99DB" w14:textId="77777777" w:rsidR="008C0A68" w:rsidRPr="005C3E39" w:rsidRDefault="008C0A68" w:rsidP="008C0A68">
      <w:pPr>
        <w:pStyle w:val="a1"/>
        <w:numPr>
          <w:ilvl w:val="0"/>
          <w:numId w:val="0"/>
        </w:numPr>
        <w:ind w:left="426"/>
      </w:pPr>
      <w:r w:rsidRPr="005C3E39">
        <w:t>-ценная бумага допущена к торгам на российской или иностранной бирже, приведенной в Приложении 4, и на этих биржах управляющая компания имеет возможность распоряжаться ценной бумагой, в том числе с участием брокера</w:t>
      </w:r>
    </w:p>
    <w:p w14:paraId="0C2A22E1" w14:textId="77777777" w:rsidR="008C0A68" w:rsidRPr="005C3E39" w:rsidRDefault="008C0A68" w:rsidP="008C0A68">
      <w:pPr>
        <w:pStyle w:val="a1"/>
        <w:numPr>
          <w:ilvl w:val="0"/>
          <w:numId w:val="0"/>
        </w:numPr>
        <w:ind w:left="426"/>
      </w:pPr>
      <w:r w:rsidRPr="005C3E39">
        <w:t>- наличия цены (котировки) и ненулевого объема торгов на дату определения справедливой стоимости;</w:t>
      </w:r>
    </w:p>
    <w:p w14:paraId="4788CDAE" w14:textId="77777777" w:rsidR="008C0A68" w:rsidRPr="005C3E39" w:rsidRDefault="008C0A68" w:rsidP="008C0A68">
      <w:pPr>
        <w:pStyle w:val="a1"/>
        <w:numPr>
          <w:ilvl w:val="0"/>
          <w:numId w:val="0"/>
        </w:numPr>
        <w:ind w:left="426"/>
      </w:pPr>
      <w:r w:rsidRPr="005C3E39">
        <w:t>- количество сделок за последние 10 (Десять) торговых дней – 10 (Десять) и более;</w:t>
      </w:r>
    </w:p>
    <w:p w14:paraId="66477209" w14:textId="77777777" w:rsidR="008C0A68" w:rsidRPr="005C3E39" w:rsidRDefault="008C0A68" w:rsidP="008C0A68">
      <w:pPr>
        <w:pStyle w:val="a1"/>
        <w:numPr>
          <w:ilvl w:val="0"/>
          <w:numId w:val="0"/>
        </w:numPr>
        <w:ind w:left="426"/>
      </w:pPr>
      <w:r w:rsidRPr="005C3E39">
        <w:t>- совокупный объем сделок за последние 10 торговых дней превысил 500 000 (Пятьсот тысяч) российских рублей (далее – рубли)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14:paraId="5DEEBDB3" w14:textId="77777777" w:rsidR="008C0A68" w:rsidRPr="005C3E39" w:rsidRDefault="008C0A68" w:rsidP="008C0A68">
      <w:pPr>
        <w:pStyle w:val="a1"/>
        <w:numPr>
          <w:ilvl w:val="0"/>
          <w:numId w:val="0"/>
        </w:numPr>
        <w:ind w:left="426"/>
      </w:pPr>
      <w:r w:rsidRPr="005C3E39">
        <w:t>Критерий о количестве сделок применяется в случае, если на всех доступных наблюдаемых рынках, на которых торгуется ценная бумага, в доступных источниках информации есть данные о количестве сделок. В отсутствии критерия о количестве сделок хотя бы на одном доступном наблюдаемом рынке для определения активного рынка применяется только критерий совокупного объема сделок за последние 10 торговых дней, который должен превышать 3 000 000 рублей (или соответствующий рублевый эквивалент по курсу Банка России на дату определения активного рынка (дату определения СЧА), если объем сделок определен в иностранной валюте).</w:t>
      </w:r>
    </w:p>
    <w:p w14:paraId="2AF07497" w14:textId="77777777" w:rsidR="008C0A68" w:rsidRPr="005C3E39" w:rsidRDefault="008C0A68" w:rsidP="008C0A68">
      <w:pPr>
        <w:pStyle w:val="a1"/>
        <w:numPr>
          <w:ilvl w:val="0"/>
          <w:numId w:val="0"/>
        </w:numPr>
        <w:ind w:left="426"/>
      </w:pPr>
    </w:p>
    <w:p w14:paraId="65B5824B" w14:textId="77777777" w:rsidR="008C0A68" w:rsidRPr="005C3E39" w:rsidRDefault="008C0A68" w:rsidP="008C0A68">
      <w:pPr>
        <w:pStyle w:val="a1"/>
        <w:numPr>
          <w:ilvl w:val="0"/>
          <w:numId w:val="0"/>
        </w:numPr>
        <w:ind w:left="426"/>
      </w:pPr>
      <w:r w:rsidRPr="005C3E39">
        <w:t xml:space="preserve">В случае, если ценная бумага торгуется на российской бирже в основном режиме торгов с расчетами в рублях и в иностранной валюте, то совокупный объем сделок определяется по общему объему торгов с расчетами в рублях и в иностранной валюте. </w:t>
      </w:r>
    </w:p>
    <w:p w14:paraId="7F547559" w14:textId="77777777" w:rsidR="008C0A68" w:rsidRPr="005C3E39" w:rsidRDefault="008C0A68" w:rsidP="008C0A68">
      <w:pPr>
        <w:pStyle w:val="a1"/>
        <w:numPr>
          <w:ilvl w:val="0"/>
          <w:numId w:val="0"/>
        </w:numPr>
        <w:ind w:left="426"/>
      </w:pPr>
    </w:p>
    <w:p w14:paraId="6626CC11" w14:textId="77777777" w:rsidR="008C0A68" w:rsidRPr="005C3E39" w:rsidRDefault="008C0A68" w:rsidP="008C0A68">
      <w:pPr>
        <w:pStyle w:val="a1"/>
        <w:numPr>
          <w:ilvl w:val="0"/>
          <w:numId w:val="0"/>
        </w:numPr>
        <w:ind w:left="426"/>
      </w:pPr>
      <w:r w:rsidRPr="005C3E39">
        <w:t>В том случае, если объем торгов выражен в иностранной валюте, для целей определения соответствия критериям активного рынка совокупный объем торгов за 10 торговых дней переводится в рубли по курсу Банка России на дату объема торгов.</w:t>
      </w:r>
    </w:p>
    <w:p w14:paraId="796FA860" w14:textId="77777777" w:rsidR="008C0A68" w:rsidRPr="005C3E39" w:rsidRDefault="008C0A68" w:rsidP="008C0A68">
      <w:pPr>
        <w:pStyle w:val="a1"/>
        <w:numPr>
          <w:ilvl w:val="0"/>
          <w:numId w:val="0"/>
        </w:numPr>
        <w:ind w:left="426"/>
      </w:pPr>
    </w:p>
    <w:p w14:paraId="4B9B62E9" w14:textId="6B4EFCC6" w:rsidR="008C0A68" w:rsidRPr="005C3E39" w:rsidRDefault="008C0A68" w:rsidP="008C0A68">
      <w:pPr>
        <w:pStyle w:val="a1"/>
        <w:numPr>
          <w:ilvl w:val="0"/>
          <w:numId w:val="0"/>
        </w:numPr>
        <w:ind w:left="426"/>
      </w:pPr>
      <w:r w:rsidRPr="005C3E39">
        <w:t xml:space="preserve">Определение активного рынка осуществляется с учетом того, что возможность использования данных последнего торгового дня на торговых площадках не применяется в случае, когда неторговый день (или отсутствие торгов на фондовом рынке) связан с приостановкой торгов по решению Банка России, приостановкой торгов в случае достижения установленных биржей пороговых значений или иными событиями (согласно мотивированному суждению управляющей компании), способными существенно повлиять на изменение справедливой стоимости в такой неторговый день по сравнению с последним торговым днем. В случае, если возникшие обстоятельства приводят к затруднению (невозможности) определения справедливой стоимости активов, управляющая компания обязана приостановить выдачу, погашение инвестиционных паев паевого инвестиционного фонда по причинам, не зависящим от управляющей компании, безотносительно типа паевого инвестиционного фонда и независимо от фактического </w:t>
      </w:r>
      <w:r w:rsidRPr="005C3E39">
        <w:lastRenderedPageBreak/>
        <w:t>проведения процедур по выдаче, погашению инвестиционных паев в момент возникновения обязанности по приостановлению.</w:t>
      </w:r>
    </w:p>
    <w:p w14:paraId="232E5E30" w14:textId="77777777" w:rsidR="008C0A68" w:rsidRPr="005C3E39" w:rsidRDefault="008C0A68" w:rsidP="008C0A68">
      <w:pPr>
        <w:pStyle w:val="a1"/>
        <w:numPr>
          <w:ilvl w:val="0"/>
          <w:numId w:val="0"/>
        </w:numPr>
        <w:ind w:left="426"/>
      </w:pPr>
    </w:p>
    <w:p w14:paraId="44E00D3C" w14:textId="77777777" w:rsidR="008C0A68" w:rsidRPr="005C3E39" w:rsidRDefault="008C0A68" w:rsidP="008C0A68">
      <w:pPr>
        <w:pStyle w:val="a1"/>
        <w:numPr>
          <w:ilvl w:val="0"/>
          <w:numId w:val="0"/>
        </w:numPr>
        <w:ind w:left="426"/>
      </w:pPr>
      <w:r w:rsidRPr="005C3E39">
        <w:t xml:space="preserve">Выбор уместных методов определения стоимости ценных бумаг и источников исходных данных, необходимых для определения справедливой стоимости, зависит от действующих ограничений на распоряжение ценными бумагами на соответствующих рынках. Стоимость ценных бумаг одного вида или одного и того же выпуска надлежит определять с использованием отличающихся (разных) методов определения стоимости и источников данных, которые наиболее уместны в данных обстоятельствах, с учетом критериев, характеризующих возможность распоряжения ценными бумагами. </w:t>
      </w:r>
    </w:p>
    <w:p w14:paraId="6268A0AB" w14:textId="77777777" w:rsidR="008C0A68" w:rsidRPr="005C3E39" w:rsidRDefault="008C0A68" w:rsidP="008C0A68">
      <w:pPr>
        <w:pStyle w:val="a1"/>
        <w:numPr>
          <w:ilvl w:val="0"/>
          <w:numId w:val="0"/>
        </w:numPr>
        <w:ind w:left="426"/>
      </w:pPr>
    </w:p>
    <w:p w14:paraId="62E8B336" w14:textId="77777777" w:rsidR="008C0A68" w:rsidRPr="005C3E39" w:rsidRDefault="008C0A68" w:rsidP="008C0A68">
      <w:pPr>
        <w:pStyle w:val="a1"/>
        <w:numPr>
          <w:ilvl w:val="0"/>
          <w:numId w:val="0"/>
        </w:numPr>
        <w:ind w:left="426"/>
      </w:pPr>
      <w:r w:rsidRPr="005C3E39">
        <w:t>Выбор способа оценки справедливой стоимости указанных ценных бумаг (в том числе ценных бумаг одного и того же выпуска) на всех уровнях оценки определяется наличием фактической возможности распоряжаться ценными бумагами (ценной бумагой) в условиях недружественных действий, предпринимаемых со стороны иностранных государств, международных организаций, иностранных финансовых организаций, международных расчётно-клиринговых центров «Евроклир Банк», г. Брюссель, и «Клирстрим Бэнкинг», г. Люксембург, в том числе связанных с введением ограничительных мер в отношении Российской Федерации, российских юридических лиц и граждан Российской Федерации.</w:t>
      </w:r>
    </w:p>
    <w:p w14:paraId="142FF876" w14:textId="77777777" w:rsidR="008C0A68" w:rsidRPr="005C3E39" w:rsidRDefault="008C0A68" w:rsidP="008C0A68">
      <w:pPr>
        <w:pStyle w:val="a1"/>
        <w:numPr>
          <w:ilvl w:val="0"/>
          <w:numId w:val="0"/>
        </w:numPr>
        <w:ind w:left="426"/>
        <w:rPr>
          <w:b/>
        </w:rPr>
      </w:pPr>
      <w:r w:rsidRPr="005C3E39">
        <w:rPr>
          <w:b/>
          <w:i/>
        </w:rPr>
        <w:t>Основным рынком признается</w:t>
      </w:r>
      <w:r w:rsidRPr="005C3E39">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897"/>
      </w:tblGrid>
      <w:tr w:rsidR="008C0A68" w:rsidRPr="005C3E39" w14:paraId="79A77DE2" w14:textId="77777777" w:rsidTr="00E41AB9">
        <w:tc>
          <w:tcPr>
            <w:tcW w:w="4390" w:type="dxa"/>
            <w:shd w:val="clear" w:color="auto" w:fill="A6A6A6"/>
          </w:tcPr>
          <w:p w14:paraId="0F5B722E" w14:textId="77777777" w:rsidR="008C0A68" w:rsidRPr="005C3E39" w:rsidRDefault="008C0A68" w:rsidP="00E41AB9">
            <w:pPr>
              <w:pStyle w:val="a1"/>
              <w:numPr>
                <w:ilvl w:val="0"/>
                <w:numId w:val="0"/>
              </w:numPr>
              <w:ind w:left="426"/>
            </w:pPr>
            <w:r w:rsidRPr="005C3E39">
              <w:t>Основной рынок для ценных бумаг в целях настоящих Правил определения СЧА</w:t>
            </w:r>
          </w:p>
        </w:tc>
        <w:tc>
          <w:tcPr>
            <w:tcW w:w="4897" w:type="dxa"/>
            <w:shd w:val="clear" w:color="auto" w:fill="A6A6A6"/>
          </w:tcPr>
          <w:p w14:paraId="423801BD" w14:textId="77777777" w:rsidR="008C0A68" w:rsidRPr="005C3E39" w:rsidRDefault="008C0A68" w:rsidP="00E41AB9">
            <w:pPr>
              <w:pStyle w:val="a1"/>
              <w:numPr>
                <w:ilvl w:val="0"/>
                <w:numId w:val="0"/>
              </w:numPr>
              <w:ind w:left="426"/>
            </w:pPr>
            <w:r w:rsidRPr="005C3E39">
              <w:t>Порядок признания рынка основным</w:t>
            </w:r>
          </w:p>
        </w:tc>
      </w:tr>
      <w:tr w:rsidR="008C0A68" w:rsidRPr="005C3E39" w14:paraId="1D7AD50C" w14:textId="77777777" w:rsidTr="00E41AB9">
        <w:trPr>
          <w:trHeight w:val="2747"/>
        </w:trPr>
        <w:tc>
          <w:tcPr>
            <w:tcW w:w="4390" w:type="dxa"/>
            <w:shd w:val="clear" w:color="auto" w:fill="auto"/>
          </w:tcPr>
          <w:p w14:paraId="29953938" w14:textId="77777777" w:rsidR="008C0A68" w:rsidRPr="005C3E39" w:rsidRDefault="008C0A68" w:rsidP="00E41AB9">
            <w:pPr>
              <w:pStyle w:val="a1"/>
              <w:numPr>
                <w:ilvl w:val="0"/>
                <w:numId w:val="0"/>
              </w:numPr>
              <w:ind w:left="426"/>
            </w:pPr>
            <w:r w:rsidRPr="005C3E39">
              <w:t>Для ценных бумаг российских эмитентов</w:t>
            </w:r>
          </w:p>
          <w:p w14:paraId="5CC0E565" w14:textId="77777777" w:rsidR="008C0A68" w:rsidRPr="005C3E39" w:rsidRDefault="008C0A68" w:rsidP="00E41AB9">
            <w:pPr>
              <w:pStyle w:val="a1"/>
              <w:numPr>
                <w:ilvl w:val="0"/>
                <w:numId w:val="0"/>
              </w:numPr>
              <w:ind w:left="426"/>
            </w:pPr>
            <w:r w:rsidRPr="005C3E39">
              <w:t>(за исключением облигаций внешних облигационных займов Российской Федерации и ценных бумаг международных компаний)</w:t>
            </w:r>
          </w:p>
        </w:tc>
        <w:tc>
          <w:tcPr>
            <w:tcW w:w="4897" w:type="dxa"/>
            <w:shd w:val="clear" w:color="auto" w:fill="auto"/>
          </w:tcPr>
          <w:p w14:paraId="6F2D3B8A" w14:textId="77777777" w:rsidR="008C0A68" w:rsidRPr="005C3E39" w:rsidRDefault="008C0A68" w:rsidP="00E41AB9">
            <w:pPr>
              <w:pStyle w:val="a1"/>
              <w:numPr>
                <w:ilvl w:val="0"/>
                <w:numId w:val="0"/>
              </w:numPr>
              <w:ind w:left="426"/>
            </w:pPr>
            <w:r w:rsidRPr="005C3E39">
              <w:t xml:space="preserve">Московская биржа, если Московская биржа является активным рынком. </w:t>
            </w:r>
          </w:p>
          <w:p w14:paraId="355213E5" w14:textId="77777777" w:rsidR="008C0A68" w:rsidRPr="005C3E39" w:rsidRDefault="008C0A68" w:rsidP="00E41AB9">
            <w:pPr>
              <w:pStyle w:val="a1"/>
              <w:numPr>
                <w:ilvl w:val="0"/>
                <w:numId w:val="0"/>
              </w:numPr>
              <w:ind w:left="426"/>
            </w:pPr>
            <w:r w:rsidRPr="005C3E39">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последние 30 (Тридцать) торговых дней, включая дату оценки, по состоянию на которую определяется основной рынок.</w:t>
            </w:r>
          </w:p>
          <w:p w14:paraId="28D20E49" w14:textId="77777777" w:rsidR="008C0A68" w:rsidRPr="005C3E39" w:rsidRDefault="008C0A68" w:rsidP="00E41AB9">
            <w:pPr>
              <w:pStyle w:val="a1"/>
              <w:numPr>
                <w:ilvl w:val="0"/>
                <w:numId w:val="0"/>
              </w:numPr>
              <w:ind w:left="426"/>
            </w:pPr>
            <w:r w:rsidRPr="005C3E39">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tc>
      </w:tr>
      <w:tr w:rsidR="008C0A68" w:rsidRPr="005C3E39" w14:paraId="128B7518" w14:textId="77777777" w:rsidTr="00E41AB9">
        <w:trPr>
          <w:trHeight w:val="1837"/>
        </w:trPr>
        <w:tc>
          <w:tcPr>
            <w:tcW w:w="4390" w:type="dxa"/>
            <w:shd w:val="clear" w:color="auto" w:fill="auto"/>
          </w:tcPr>
          <w:p w14:paraId="0C4BEEA0" w14:textId="77777777" w:rsidR="008C0A68" w:rsidRPr="005C3E39" w:rsidRDefault="008C0A68" w:rsidP="00E41AB9">
            <w:pPr>
              <w:pStyle w:val="a1"/>
              <w:numPr>
                <w:ilvl w:val="0"/>
                <w:numId w:val="0"/>
              </w:numPr>
              <w:ind w:left="426"/>
            </w:pPr>
            <w:r w:rsidRPr="005C3E39">
              <w:t xml:space="preserve">Для ценных бумаг иностранных эмитентов, в том числе для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w:t>
            </w:r>
            <w:r w:rsidRPr="005C3E39">
              <w:lastRenderedPageBreak/>
              <w:t xml:space="preserve">организаций, ценных бумаг международных компаний, допущенных к торгам на организованных торговых площадках </w:t>
            </w:r>
          </w:p>
        </w:tc>
        <w:tc>
          <w:tcPr>
            <w:tcW w:w="4897" w:type="dxa"/>
            <w:shd w:val="clear" w:color="auto" w:fill="auto"/>
          </w:tcPr>
          <w:p w14:paraId="580E2B9E" w14:textId="77777777" w:rsidR="008C0A68" w:rsidRPr="005C3E39" w:rsidRDefault="008C0A68" w:rsidP="00E41AB9">
            <w:pPr>
              <w:pStyle w:val="a1"/>
              <w:numPr>
                <w:ilvl w:val="0"/>
                <w:numId w:val="0"/>
              </w:numPr>
              <w:ind w:left="426"/>
            </w:pPr>
            <w:r w:rsidRPr="005C3E39">
              <w:lastRenderedPageBreak/>
              <w:t>Иностранная или российская биржа, в том числе Московская биржа, из числа активных рынков, по которой определен наибольший общий объем сделок по количеству ценных бумаг за последние 30 (Тридцать) торговых дней, включая дату оценки, по состоянию на которую определяется основной рынок.</w:t>
            </w:r>
          </w:p>
          <w:p w14:paraId="32AC2EC8" w14:textId="77777777" w:rsidR="008C0A68" w:rsidRPr="005C3E39" w:rsidRDefault="008C0A68" w:rsidP="00E41AB9">
            <w:pPr>
              <w:pStyle w:val="a1"/>
              <w:numPr>
                <w:ilvl w:val="0"/>
                <w:numId w:val="0"/>
              </w:numPr>
              <w:ind w:left="426"/>
            </w:pPr>
            <w:r w:rsidRPr="005C3E39">
              <w:lastRenderedPageBreak/>
              <w:t>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tc>
      </w:tr>
      <w:tr w:rsidR="008C0A68" w:rsidRPr="005C3E39" w14:paraId="6ACFF2CF" w14:textId="77777777" w:rsidTr="00E41AB9">
        <w:trPr>
          <w:trHeight w:val="1136"/>
        </w:trPr>
        <w:tc>
          <w:tcPr>
            <w:tcW w:w="4390" w:type="dxa"/>
            <w:shd w:val="clear" w:color="auto" w:fill="auto"/>
          </w:tcPr>
          <w:p w14:paraId="0B17C34F" w14:textId="77777777" w:rsidR="008C0A68" w:rsidRPr="005C3E39" w:rsidRDefault="008C0A68" w:rsidP="00E41AB9">
            <w:pPr>
              <w:pStyle w:val="a1"/>
              <w:numPr>
                <w:ilvl w:val="0"/>
                <w:numId w:val="0"/>
              </w:numPr>
              <w:ind w:left="426"/>
              <w:rPr>
                <w:b/>
              </w:rPr>
            </w:pPr>
            <w:r w:rsidRPr="005C3E39">
              <w:lastRenderedPageBreak/>
              <w:t>Для ценных бумаг иностранных эмитентов,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не допущенных к торгам на биржевых площадках, доступных Управляющей компании</w:t>
            </w:r>
          </w:p>
        </w:tc>
        <w:tc>
          <w:tcPr>
            <w:tcW w:w="4897" w:type="dxa"/>
            <w:shd w:val="clear" w:color="auto" w:fill="auto"/>
          </w:tcPr>
          <w:p w14:paraId="29AC59E9" w14:textId="77777777" w:rsidR="008C0A68" w:rsidRPr="005C3E39" w:rsidRDefault="008C0A68" w:rsidP="00E41AB9">
            <w:pPr>
              <w:jc w:val="both"/>
              <w:rPr>
                <w:szCs w:val="24"/>
              </w:rPr>
            </w:pPr>
          </w:p>
          <w:p w14:paraId="5401F990" w14:textId="77777777" w:rsidR="008C0A68" w:rsidRPr="005C3E39" w:rsidRDefault="008C0A68" w:rsidP="00E41AB9">
            <w:pPr>
              <w:jc w:val="both"/>
              <w:rPr>
                <w:szCs w:val="24"/>
              </w:rPr>
            </w:pPr>
            <w:r w:rsidRPr="005C3E39">
              <w:rPr>
                <w:szCs w:val="24"/>
              </w:rPr>
              <w:t>Внебиржевой рынок.</w:t>
            </w:r>
          </w:p>
        </w:tc>
      </w:tr>
    </w:tbl>
    <w:p w14:paraId="46A2E5D0" w14:textId="77777777" w:rsidR="008C0A68" w:rsidRPr="005C3E39" w:rsidRDefault="008C0A68" w:rsidP="008C0A68">
      <w:pPr>
        <w:pStyle w:val="a1"/>
        <w:numPr>
          <w:ilvl w:val="0"/>
          <w:numId w:val="0"/>
        </w:numPr>
        <w:ind w:left="426"/>
      </w:pPr>
    </w:p>
    <w:p w14:paraId="725724B7" w14:textId="77777777" w:rsidR="008C0A68" w:rsidRPr="005C3E39" w:rsidRDefault="008C0A68" w:rsidP="008C0A68">
      <w:pPr>
        <w:pStyle w:val="a7"/>
        <w:spacing w:line="240" w:lineRule="auto"/>
        <w:jc w:val="both"/>
        <w:rPr>
          <w:rFonts w:ascii="Times New Roman" w:hAnsi="Times New Roman"/>
          <w:b/>
          <w:sz w:val="24"/>
          <w:szCs w:val="24"/>
        </w:rPr>
      </w:pPr>
      <w:r w:rsidRPr="005C3E39">
        <w:rPr>
          <w:rFonts w:ascii="Times New Roman" w:hAnsi="Times New Roman"/>
          <w:b/>
          <w:sz w:val="24"/>
          <w:szCs w:val="24"/>
        </w:rPr>
        <w:t>Порядок оценки стоимости ценных бумаг</w:t>
      </w:r>
    </w:p>
    <w:p w14:paraId="14287D9D" w14:textId="77777777" w:rsidR="008C0A68" w:rsidRPr="005C3E39" w:rsidRDefault="008C0A68" w:rsidP="008C0A68">
      <w:pPr>
        <w:pStyle w:val="a7"/>
        <w:spacing w:line="240" w:lineRule="auto"/>
        <w:jc w:val="both"/>
        <w:rPr>
          <w:rFonts w:ascii="Times New Roman" w:hAnsi="Times New Roman"/>
          <w:sz w:val="24"/>
          <w:szCs w:val="24"/>
        </w:rPr>
      </w:pPr>
      <w:r w:rsidRPr="005C3E39">
        <w:rPr>
          <w:rFonts w:ascii="Times New Roman" w:hAnsi="Times New Roman"/>
          <w:sz w:val="24"/>
          <w:szCs w:val="24"/>
        </w:rPr>
        <w:t xml:space="preserve">                                                                                                                         </w:t>
      </w:r>
    </w:p>
    <w:p w14:paraId="7067B0B2" w14:textId="77777777" w:rsidR="008C0A68" w:rsidRPr="005C3E39" w:rsidRDefault="008C0A68" w:rsidP="008C0A68">
      <w:pPr>
        <w:pStyle w:val="a7"/>
        <w:spacing w:after="120" w:line="240" w:lineRule="auto"/>
        <w:ind w:left="0"/>
        <w:jc w:val="both"/>
        <w:rPr>
          <w:rFonts w:ascii="Times New Roman" w:hAnsi="Times New Roman"/>
          <w:b/>
          <w:sz w:val="24"/>
          <w:szCs w:val="24"/>
        </w:rPr>
      </w:pPr>
      <w:r w:rsidRPr="005C3E39">
        <w:rPr>
          <w:rFonts w:ascii="Times New Roman" w:hAnsi="Times New Roman"/>
          <w:b/>
          <w:sz w:val="24"/>
          <w:szCs w:val="24"/>
        </w:rPr>
        <w:t>Уровень 1</w:t>
      </w:r>
    </w:p>
    <w:p w14:paraId="54F29380" w14:textId="0B20D2DF" w:rsidR="008C0A68" w:rsidRPr="005C3E39" w:rsidRDefault="008C0A68" w:rsidP="008C0A68">
      <w:pPr>
        <w:rPr>
          <w:b/>
          <w:i/>
          <w:szCs w:val="24"/>
        </w:rPr>
      </w:pPr>
      <w:r w:rsidRPr="005C3E39">
        <w:rPr>
          <w:b/>
          <w:i/>
          <w:szCs w:val="24"/>
        </w:rPr>
        <w:t xml:space="preserve">Ценные бумаги допущенные к торгам российских бирж (хранением через НКО НРД),  в том числе: ценные бумаги российских эмитентов, </w:t>
      </w:r>
      <w:r w:rsidRPr="00B315FF">
        <w:rPr>
          <w:b/>
          <w:i/>
          <w:szCs w:val="24"/>
        </w:rPr>
        <w:t>долговые ценные бумаги иностранных государств; еврооблигации иностранных эмитентов; ценные бумаги международных финансовых</w:t>
      </w:r>
      <w:r w:rsidRPr="005C3E39">
        <w:rPr>
          <w:b/>
          <w:i/>
          <w:szCs w:val="24"/>
        </w:rPr>
        <w:t xml:space="preserve"> организаций, ценные бумаги международных компаний, облигации внешних облигационных займов Российской Федерации (ГОВОЗ РФ),  с хранением через НРД и фактической возможностью распоряжения.</w:t>
      </w:r>
    </w:p>
    <w:p w14:paraId="791172A2" w14:textId="77777777" w:rsidR="008C0A68" w:rsidRPr="005C3E39" w:rsidRDefault="008C0A68" w:rsidP="008C0A68">
      <w:pPr>
        <w:pStyle w:val="a7"/>
        <w:spacing w:after="120" w:line="240" w:lineRule="auto"/>
        <w:ind w:left="0"/>
        <w:jc w:val="both"/>
        <w:rPr>
          <w:rFonts w:ascii="Times New Roman" w:hAnsi="Times New Roman"/>
          <w:b/>
          <w:i/>
          <w:sz w:val="24"/>
          <w:szCs w:val="24"/>
        </w:rPr>
      </w:pPr>
    </w:p>
    <w:p w14:paraId="2D67A897" w14:textId="77777777" w:rsidR="008C0A68" w:rsidRPr="005C3E39" w:rsidRDefault="008C0A68" w:rsidP="008C0A68">
      <w:pPr>
        <w:pStyle w:val="a7"/>
        <w:spacing w:after="120" w:line="240" w:lineRule="auto"/>
        <w:ind w:left="0"/>
        <w:jc w:val="both"/>
        <w:rPr>
          <w:rFonts w:ascii="Times New Roman" w:hAnsi="Times New Roman"/>
          <w:sz w:val="24"/>
          <w:szCs w:val="24"/>
        </w:rPr>
      </w:pPr>
      <w:r w:rsidRPr="005C3E39">
        <w:rPr>
          <w:rFonts w:ascii="Times New Roman" w:hAnsi="Times New Roman"/>
          <w:sz w:val="24"/>
          <w:szCs w:val="24"/>
        </w:rPr>
        <w:t xml:space="preserve"> Для определения справедливой стоимости ценных бумаг используются цены основного рынка (из числа активных  российских бирж), выбранные в следующем порядке (убывания приоритета):</w:t>
      </w:r>
    </w:p>
    <w:p w14:paraId="7CBB6685" w14:textId="77777777" w:rsidR="008C0A68" w:rsidRPr="005C3E39" w:rsidRDefault="008C0A68" w:rsidP="008C0A68">
      <w:pPr>
        <w:numPr>
          <w:ilvl w:val="0"/>
          <w:numId w:val="6"/>
        </w:numPr>
        <w:spacing w:before="120"/>
        <w:contextualSpacing/>
        <w:jc w:val="both"/>
        <w:rPr>
          <w:rFonts w:eastAsia="Calibri"/>
          <w:szCs w:val="24"/>
          <w:lang w:eastAsia="en-US"/>
        </w:rPr>
      </w:pPr>
      <w:r w:rsidRPr="005C3E39">
        <w:rPr>
          <w:rFonts w:eastAsia="Calibri"/>
          <w:szCs w:val="24"/>
          <w:lang w:eastAsia="en-US"/>
        </w:rPr>
        <w:t xml:space="preserve">цена спроса (bid) на момент окончания торговой </w:t>
      </w:r>
      <w:r w:rsidRPr="005C3E39">
        <w:rPr>
          <w:szCs w:val="24"/>
        </w:rPr>
        <w:t xml:space="preserve">сессии </w:t>
      </w:r>
      <w:r w:rsidRPr="005C3E39">
        <w:rPr>
          <w:rStyle w:val="af1"/>
          <w:szCs w:val="24"/>
        </w:rPr>
        <w:footnoteReference w:id="1"/>
      </w:r>
      <w:r w:rsidRPr="005C3E39">
        <w:rPr>
          <w:rFonts w:eastAsia="Calibri"/>
          <w:szCs w:val="24"/>
          <w:lang w:eastAsia="en-US"/>
        </w:rPr>
        <w:t xml:space="preserve"> российской биржи на дату определения СЧА при условии подтверждения ее корректности;</w:t>
      </w:r>
    </w:p>
    <w:p w14:paraId="3C58E8F7"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(включая границы интервала) сделок на эту же дату этой же биржи;                                                                                                                                                                      </w:t>
      </w:r>
    </w:p>
    <w:p w14:paraId="39EE0DE5" w14:textId="77777777" w:rsidR="008C0A68" w:rsidRPr="005C3E39" w:rsidRDefault="008C0A68" w:rsidP="008C0A68">
      <w:pPr>
        <w:numPr>
          <w:ilvl w:val="0"/>
          <w:numId w:val="6"/>
        </w:numPr>
        <w:spacing w:before="120"/>
        <w:contextualSpacing/>
        <w:jc w:val="both"/>
        <w:rPr>
          <w:rFonts w:eastAsia="Calibri"/>
          <w:szCs w:val="24"/>
          <w:lang w:eastAsia="en-US"/>
        </w:rPr>
      </w:pPr>
      <w:r w:rsidRPr="005C3E39">
        <w:rPr>
          <w:rFonts w:eastAsia="Calibri"/>
          <w:szCs w:val="24"/>
          <w:lang w:eastAsia="en-US"/>
        </w:rPr>
        <w:t xml:space="preserve">средневзвешенная цена на момент окончания торговой </w:t>
      </w:r>
      <w:r w:rsidRPr="005C3E39">
        <w:rPr>
          <w:szCs w:val="24"/>
        </w:rPr>
        <w:t xml:space="preserve">сессии </w:t>
      </w:r>
      <w:r w:rsidRPr="005C3E39">
        <w:rPr>
          <w:rFonts w:eastAsia="Calibri"/>
          <w:szCs w:val="24"/>
          <w:lang w:eastAsia="en-US"/>
        </w:rPr>
        <w:t xml:space="preserve"> российской биржи на дату определения СЧА, при условии, что данная цена находится в пределах спреда по спросу (</w:t>
      </w:r>
      <w:r w:rsidRPr="005C3E39">
        <w:rPr>
          <w:rFonts w:eastAsia="Calibri"/>
          <w:szCs w:val="24"/>
          <w:lang w:val="en-US" w:eastAsia="en-US"/>
        </w:rPr>
        <w:t>Bid</w:t>
      </w:r>
      <w:r w:rsidRPr="005C3E39">
        <w:rPr>
          <w:rFonts w:eastAsia="Calibri"/>
          <w:szCs w:val="24"/>
          <w:lang w:eastAsia="en-US"/>
        </w:rPr>
        <w:t>) и предложению (</w:t>
      </w:r>
      <w:r w:rsidRPr="005C3E39">
        <w:rPr>
          <w:rFonts w:eastAsia="Calibri"/>
          <w:szCs w:val="24"/>
          <w:lang w:val="en-US" w:eastAsia="en-US"/>
        </w:rPr>
        <w:t>Ask</w:t>
      </w:r>
      <w:r w:rsidRPr="005C3E39">
        <w:rPr>
          <w:rFonts w:eastAsia="Calibri"/>
          <w:szCs w:val="24"/>
          <w:lang w:eastAsia="en-US"/>
        </w:rPr>
        <w:t>)  на момент окончания торговой сессии на дату расчета СЧА (включяя границы интервала);</w:t>
      </w:r>
    </w:p>
    <w:p w14:paraId="7C97CC93" w14:textId="77777777" w:rsidR="008C0A68" w:rsidRPr="005C3E39" w:rsidRDefault="008C0A68" w:rsidP="008C0A68">
      <w:pPr>
        <w:numPr>
          <w:ilvl w:val="0"/>
          <w:numId w:val="6"/>
        </w:numPr>
        <w:spacing w:before="120"/>
        <w:contextualSpacing/>
        <w:jc w:val="both"/>
        <w:rPr>
          <w:rFonts w:eastAsia="Calibri"/>
          <w:szCs w:val="24"/>
          <w:lang w:eastAsia="en-US"/>
        </w:rPr>
      </w:pPr>
      <w:r w:rsidRPr="005C3E39">
        <w:rPr>
          <w:rFonts w:eastAsia="Calibri"/>
          <w:szCs w:val="24"/>
          <w:lang w:eastAsia="en-US"/>
        </w:rPr>
        <w:t xml:space="preserve">цена закрытия на момент окончания торговой </w:t>
      </w:r>
      <w:r w:rsidRPr="005C3E39">
        <w:rPr>
          <w:szCs w:val="24"/>
        </w:rPr>
        <w:t xml:space="preserve">сессии  </w:t>
      </w:r>
      <w:r w:rsidRPr="005C3E39">
        <w:rPr>
          <w:rFonts w:eastAsia="Calibri"/>
          <w:szCs w:val="24"/>
          <w:lang w:eastAsia="en-US"/>
        </w:rPr>
        <w:t>российской биржи на дату определения</w:t>
      </w:r>
      <w:r w:rsidRPr="005C3E39" w:rsidDel="00F82288">
        <w:rPr>
          <w:rFonts w:eastAsia="Calibri"/>
          <w:szCs w:val="24"/>
          <w:lang w:eastAsia="en-US"/>
        </w:rPr>
        <w:t xml:space="preserve"> </w:t>
      </w:r>
      <w:r w:rsidRPr="005C3E39">
        <w:rPr>
          <w:rFonts w:eastAsia="Calibri"/>
          <w:szCs w:val="24"/>
          <w:lang w:eastAsia="en-US"/>
        </w:rPr>
        <w:t>СЧА при условии подтверждения ее корректности;</w:t>
      </w:r>
    </w:p>
    <w:p w14:paraId="6690210E"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lastRenderedPageBreak/>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14:paraId="42510774" w14:textId="77777777" w:rsidR="008C0A68" w:rsidRPr="005C3E39" w:rsidRDefault="008C0A68" w:rsidP="008C0A68">
      <w:pPr>
        <w:jc w:val="both"/>
        <w:rPr>
          <w:szCs w:val="24"/>
        </w:rPr>
      </w:pPr>
    </w:p>
    <w:p w14:paraId="3997C029" w14:textId="77777777" w:rsidR="008C0A68" w:rsidRPr="005C3E39" w:rsidRDefault="008C0A68" w:rsidP="008C0A68">
      <w:pPr>
        <w:jc w:val="both"/>
        <w:rPr>
          <w:szCs w:val="24"/>
        </w:rPr>
      </w:pPr>
      <w:r w:rsidRPr="005C3E39">
        <w:rPr>
          <w:szCs w:val="24"/>
        </w:rPr>
        <w:t xml:space="preserve">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сделок по количеству ценных бумаг за предыдущие 30 (Тридцать) торговых дней включая дату определения СЧА. </w:t>
      </w:r>
    </w:p>
    <w:p w14:paraId="0DB3C8A1" w14:textId="77777777" w:rsidR="008C0A68" w:rsidRPr="005C3E39" w:rsidRDefault="008C0A68" w:rsidP="008C0A68">
      <w:pPr>
        <w:jc w:val="both"/>
        <w:rPr>
          <w:szCs w:val="24"/>
        </w:rPr>
      </w:pPr>
      <w:r w:rsidRPr="005C3E39">
        <w:rPr>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w:t>
      </w:r>
    </w:p>
    <w:p w14:paraId="452472E6" w14:textId="77777777" w:rsidR="008C0A68" w:rsidRPr="005C3E39" w:rsidRDefault="008C0A68" w:rsidP="008C0A68">
      <w:pPr>
        <w:jc w:val="both"/>
        <w:rPr>
          <w:szCs w:val="24"/>
        </w:rPr>
      </w:pPr>
    </w:p>
    <w:p w14:paraId="2258B40E" w14:textId="77777777" w:rsidR="008C0A68" w:rsidRPr="005C3E39" w:rsidRDefault="008C0A68" w:rsidP="008C0A68">
      <w:pPr>
        <w:jc w:val="both"/>
        <w:rPr>
          <w:szCs w:val="24"/>
        </w:rPr>
      </w:pPr>
      <w:r w:rsidRPr="005C3E39">
        <w:rPr>
          <w:szCs w:val="24"/>
        </w:rPr>
        <w:t xml:space="preserve">При равенстве объема сделок в разных режимах торгов основным рынком считается торговая площадка с наибольшим количеством сделок за данный период. </w:t>
      </w:r>
    </w:p>
    <w:p w14:paraId="4000300A" w14:textId="77777777" w:rsidR="008C0A68" w:rsidRPr="005C3E39" w:rsidRDefault="008C0A68" w:rsidP="008C0A68">
      <w:pPr>
        <w:jc w:val="both"/>
        <w:rPr>
          <w:szCs w:val="24"/>
        </w:rPr>
      </w:pPr>
    </w:p>
    <w:p w14:paraId="623FB6E3" w14:textId="77777777" w:rsidR="008C0A68" w:rsidRPr="005C3E39" w:rsidRDefault="008C0A68" w:rsidP="008C0A68">
      <w:pPr>
        <w:jc w:val="both"/>
        <w:rPr>
          <w:szCs w:val="24"/>
        </w:rPr>
      </w:pPr>
      <w:r w:rsidRPr="005C3E39">
        <w:rPr>
          <w:szCs w:val="24"/>
        </w:rPr>
        <w:t>В случае, если ни одна из цен по выбранному режиму торгов в определенной валюте не может быть использована на дату оценки, то используются цены за ту же дату по режиму торгов в другой валюте с объемом торгов по критерию выбора выше в порядке уменьшения.</w:t>
      </w:r>
    </w:p>
    <w:p w14:paraId="415818B4" w14:textId="77777777" w:rsidR="008C0A68" w:rsidRPr="005C3E39" w:rsidRDefault="008C0A68" w:rsidP="008C0A68">
      <w:pPr>
        <w:jc w:val="both"/>
        <w:rPr>
          <w:szCs w:val="24"/>
        </w:rPr>
      </w:pPr>
    </w:p>
    <w:p w14:paraId="6BB87CFE" w14:textId="77777777" w:rsidR="008C0A68" w:rsidRPr="005C3E39" w:rsidRDefault="008C0A68" w:rsidP="008C0A68">
      <w:pPr>
        <w:jc w:val="both"/>
        <w:rPr>
          <w:szCs w:val="24"/>
        </w:rPr>
      </w:pPr>
      <w:r w:rsidRPr="005C3E39">
        <w:rPr>
          <w:szCs w:val="24"/>
        </w:rPr>
        <w:t xml:space="preserve">          Если на дату определения справедливой стоимости</w:t>
      </w:r>
      <w:r w:rsidRPr="005C3E39" w:rsidDel="00FE7717">
        <w:rPr>
          <w:szCs w:val="24"/>
        </w:rPr>
        <w:t xml:space="preserve"> </w:t>
      </w:r>
      <w:r w:rsidRPr="005C3E39">
        <w:rPr>
          <w:szCs w:val="24"/>
        </w:rPr>
        <w:t>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справедливой стоимости допустимо использовать цены последнего торгового дня основной биржи</w:t>
      </w:r>
    </w:p>
    <w:p w14:paraId="1FA000AE" w14:textId="77777777" w:rsidR="008C0A68" w:rsidRPr="005C3E39" w:rsidRDefault="008C0A68" w:rsidP="008C0A68">
      <w:pPr>
        <w:jc w:val="both"/>
        <w:rPr>
          <w:b/>
          <w:szCs w:val="24"/>
        </w:rPr>
      </w:pPr>
    </w:p>
    <w:p w14:paraId="5846D5F9" w14:textId="77777777" w:rsidR="008C0A68" w:rsidRPr="005C3E39" w:rsidRDefault="008C0A68" w:rsidP="008C0A68">
      <w:pPr>
        <w:pStyle w:val="a7"/>
        <w:spacing w:after="120" w:line="240" w:lineRule="auto"/>
        <w:ind w:left="0"/>
        <w:jc w:val="both"/>
        <w:rPr>
          <w:rFonts w:ascii="Times New Roman" w:hAnsi="Times New Roman"/>
          <w:b/>
          <w:i/>
          <w:sz w:val="24"/>
          <w:szCs w:val="24"/>
        </w:rPr>
      </w:pPr>
      <w:r w:rsidRPr="005C3E39">
        <w:rPr>
          <w:rFonts w:ascii="Times New Roman" w:hAnsi="Times New Roman"/>
          <w:b/>
          <w:i/>
          <w:sz w:val="24"/>
          <w:szCs w:val="24"/>
        </w:rPr>
        <w:t xml:space="preserve">          Ценные бумаги, допущенные к  иностранным  организаторам торговли на рынке ценных бумаг(определяется наличием фактической возможности распоряжаться ценными бумагами (возможность совершать сделки на организованных торгах) в условиях недружественных действий, предпринимаемых со стороны иностранных государств, международных организаций, иностранных финансовых организаций, международных расчётно-клиринговых центров «Евроклир Банк», г. Брюссель, и «Клирстрим Бэнкинг», г. Люксембург, в том числе связанных с введением ограничительных мер в отношении Российской Федерации, российских юридических лиц и граждан Российской Федерации)</w:t>
      </w:r>
    </w:p>
    <w:p w14:paraId="308B853A" w14:textId="77777777" w:rsidR="008C0A68" w:rsidRPr="005C3E39" w:rsidRDefault="008C0A68" w:rsidP="008C0A68">
      <w:pPr>
        <w:jc w:val="both"/>
        <w:rPr>
          <w:szCs w:val="24"/>
        </w:rPr>
      </w:pPr>
      <w:r w:rsidRPr="005C3E39">
        <w:rPr>
          <w:szCs w:val="24"/>
        </w:rPr>
        <w:t>Биржевые цены используются только при наличии доступа и возможности совершать сделки на таких биржах.</w:t>
      </w:r>
    </w:p>
    <w:p w14:paraId="7382DEC1" w14:textId="77777777" w:rsidR="008C0A68" w:rsidRPr="005C3E39" w:rsidRDefault="008C0A68" w:rsidP="008C0A68">
      <w:pPr>
        <w:jc w:val="both"/>
        <w:rPr>
          <w:szCs w:val="24"/>
        </w:rPr>
      </w:pPr>
      <w:r w:rsidRPr="005C3E39">
        <w:rPr>
          <w:szCs w:val="24"/>
        </w:rPr>
        <w:t>Справедливая стоимость ценных бумаг,  определяется в порядке убывания приоритета:</w:t>
      </w:r>
    </w:p>
    <w:p w14:paraId="7EA88666" w14:textId="77777777" w:rsidR="008C0A68" w:rsidRPr="005C3E39" w:rsidRDefault="008C0A68" w:rsidP="008C0A68">
      <w:pPr>
        <w:jc w:val="both"/>
        <w:rPr>
          <w:szCs w:val="24"/>
        </w:rPr>
      </w:pPr>
      <w:r w:rsidRPr="005C3E39">
        <w:rPr>
          <w:szCs w:val="24"/>
        </w:rPr>
        <w:t>Цены иностранных биржевых площадок (из числа активных), выбранные в следующем порядке (убывания приоритета):</w:t>
      </w:r>
    </w:p>
    <w:p w14:paraId="2238F3AA" w14:textId="77777777" w:rsidR="008C0A68" w:rsidRPr="005C3E39" w:rsidRDefault="008C0A68" w:rsidP="008C0A68">
      <w:pPr>
        <w:ind w:firstLine="426"/>
        <w:jc w:val="both"/>
        <w:rPr>
          <w:szCs w:val="24"/>
        </w:rPr>
      </w:pPr>
      <w:r w:rsidRPr="005C3E39">
        <w:rPr>
          <w:szCs w:val="24"/>
        </w:rPr>
        <w:t>a)</w:t>
      </w:r>
      <w:r w:rsidRPr="005C3E39">
        <w:rPr>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14:paraId="7DE876ED" w14:textId="77777777" w:rsidR="008C0A68" w:rsidRPr="005C3E39" w:rsidRDefault="008C0A68" w:rsidP="008C0A68">
      <w:pPr>
        <w:ind w:firstLine="426"/>
        <w:jc w:val="both"/>
        <w:rPr>
          <w:szCs w:val="24"/>
        </w:rPr>
      </w:pPr>
      <w:r w:rsidRPr="005C3E39">
        <w:rPr>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5A276ED0" w14:textId="77777777" w:rsidR="008C0A68" w:rsidRPr="005C3E39" w:rsidRDefault="008C0A68" w:rsidP="008C0A68">
      <w:pPr>
        <w:ind w:firstLine="426"/>
        <w:jc w:val="both"/>
        <w:rPr>
          <w:szCs w:val="24"/>
        </w:rPr>
      </w:pPr>
      <w:r w:rsidRPr="005C3E39">
        <w:rPr>
          <w:szCs w:val="24"/>
        </w:rPr>
        <w:t>b)</w:t>
      </w:r>
      <w:r w:rsidRPr="005C3E39">
        <w:rPr>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14:paraId="35D30033" w14:textId="77777777" w:rsidR="008C0A68" w:rsidRPr="005C3E39" w:rsidRDefault="008C0A68" w:rsidP="008C0A68">
      <w:pPr>
        <w:ind w:firstLine="426"/>
        <w:jc w:val="both"/>
        <w:rPr>
          <w:szCs w:val="24"/>
        </w:rPr>
      </w:pPr>
      <w:r w:rsidRPr="005C3E39">
        <w:rPr>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14:paraId="7ABB67CF" w14:textId="77777777" w:rsidR="008C0A68" w:rsidRPr="005C3E39" w:rsidRDefault="008C0A68" w:rsidP="008C0A68">
      <w:pPr>
        <w:pStyle w:val="2"/>
        <w:rPr>
          <w:rFonts w:eastAsia="Calibri"/>
          <w:lang w:eastAsia="en-US"/>
        </w:rPr>
      </w:pPr>
      <w:r w:rsidRPr="005C3E39">
        <w:rPr>
          <w:rFonts w:eastAsia="Calibri"/>
          <w:lang w:eastAsia="en-US"/>
        </w:rPr>
        <w:lastRenderedPageBreak/>
        <w:t xml:space="preserve">УРОВЕНЬ 2 </w:t>
      </w:r>
    </w:p>
    <w:p w14:paraId="028A74C0" w14:textId="77777777" w:rsidR="008C0A68" w:rsidRPr="005C3E39" w:rsidRDefault="008C0A68" w:rsidP="008C0A68">
      <w:pPr>
        <w:jc w:val="both"/>
        <w:rPr>
          <w:b/>
          <w:sz w:val="20"/>
        </w:rPr>
      </w:pPr>
      <w:r w:rsidRPr="005C3E39">
        <w:rPr>
          <w:b/>
          <w:sz w:val="20"/>
        </w:rPr>
        <w:t>Модели и методы оценки справедливой стоимости ценных бумаг, для которых не определяется активный биржевой рынок, но имеются иные прямо или косвенно наблюдаемые данные</w:t>
      </w:r>
    </w:p>
    <w:p w14:paraId="14ADA9AB" w14:textId="77777777" w:rsidR="008C0A68" w:rsidRPr="005C3E39" w:rsidRDefault="008C0A68" w:rsidP="008C0A68">
      <w:pPr>
        <w:jc w:val="both"/>
        <w:rPr>
          <w:b/>
          <w:szCs w:val="24"/>
        </w:rPr>
      </w:pPr>
    </w:p>
    <w:p w14:paraId="6552B646" w14:textId="77777777" w:rsidR="008C0A68" w:rsidRPr="005C3E39" w:rsidRDefault="008C0A68" w:rsidP="008C0A68">
      <w:pPr>
        <w:jc w:val="both"/>
        <w:rPr>
          <w:b/>
          <w:i/>
          <w:szCs w:val="24"/>
        </w:rPr>
      </w:pPr>
      <w:r w:rsidRPr="005C3E39">
        <w:rPr>
          <w:b/>
          <w:i/>
          <w:szCs w:val="24"/>
        </w:rPr>
        <w:t xml:space="preserve">Справедливая стоимость для акций, обращающихся на российских биржах  </w:t>
      </w:r>
    </w:p>
    <w:p w14:paraId="31279244" w14:textId="77777777" w:rsidR="008C0A68" w:rsidRPr="005C3E39" w:rsidRDefault="008C0A68" w:rsidP="008C0A68">
      <w:pPr>
        <w:jc w:val="both"/>
        <w:rPr>
          <w:b/>
          <w:szCs w:val="24"/>
        </w:rPr>
      </w:pPr>
    </w:p>
    <w:p w14:paraId="562317B0" w14:textId="77777777" w:rsidR="008C0A68" w:rsidRPr="005C3E39" w:rsidRDefault="008C0A68" w:rsidP="008C0A68">
      <w:pPr>
        <w:jc w:val="both"/>
        <w:rPr>
          <w:i/>
          <w:szCs w:val="24"/>
        </w:rPr>
      </w:pPr>
      <w:r w:rsidRPr="005C3E39">
        <w:rPr>
          <w:i/>
          <w:szCs w:val="24"/>
        </w:rPr>
        <w:t>Модель оценки,</w:t>
      </w:r>
      <w:r w:rsidRPr="005C3E39">
        <w:t xml:space="preserve"> </w:t>
      </w:r>
      <w:r w:rsidRPr="005C3E39">
        <w:rPr>
          <w:i/>
          <w:szCs w:val="24"/>
        </w:rPr>
        <w:t>основанная на корректировке исторической цены (далее – модель CAPM)</w:t>
      </w:r>
    </w:p>
    <w:p w14:paraId="1B50A4BD" w14:textId="77777777" w:rsidR="008C0A68" w:rsidRPr="005C3E39" w:rsidRDefault="008C0A68" w:rsidP="008C0A68">
      <w:pPr>
        <w:jc w:val="both"/>
        <w:rPr>
          <w:i/>
          <w:szCs w:val="24"/>
        </w:rPr>
      </w:pPr>
    </w:p>
    <w:p w14:paraId="7FCCAC6A"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Данная корректировка применяется в случае отсутствия наблюдаемой цены в течение не более десяти рабочих дней (далее используются модели оценки, основанные на применении исходных данных 3-го уровня). В случае принятия организатором торговли решения об исключении ценных бумаг из списка ценных бумаг, допущенных к торгам, и (или) в случае принятия решения о прекращении торгов, а также если торги прекращены в соответствии с правилами проведения листинга организатора торговли без принятия решения о прекращении торгов, модель САРМ в целях определения справедливой стоимости оцениваемого актива не применяется с даты прекращения торгов.</w:t>
      </w:r>
    </w:p>
    <w:p w14:paraId="69FF62D4"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14:paraId="057F56D4"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В качестве рыночного индикатора (бенчмарка) акций российских эмитентов, могут использоваться:</w:t>
      </w:r>
    </w:p>
    <w:p w14:paraId="0132C781"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индекс Московской Биржи (IMOEX).</w:t>
      </w:r>
    </w:p>
    <w:p w14:paraId="141C5417"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 индексы акций широкого рынка (основные индексы), такие как MSCI, S&amp;P500, DJIA и другие; </w:t>
      </w:r>
    </w:p>
    <w:p w14:paraId="1DD2C0FD"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капитализационные индексы акций (высокой, средней и низкой капитализации);</w:t>
      </w:r>
    </w:p>
    <w:p w14:paraId="39426597"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отраслевые индексы.</w:t>
      </w:r>
    </w:p>
    <w:p w14:paraId="4340327A"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14:paraId="10DD4199"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Формула расчета справедливой стоимости на дату расчета:</w:t>
      </w:r>
    </w:p>
    <w:p w14:paraId="132A44CE"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br/>
      </w:r>
    </w:p>
    <w:p w14:paraId="579E4B7B" w14:textId="77777777" w:rsidR="008C0A68" w:rsidRPr="005C3E39" w:rsidRDefault="002B470C" w:rsidP="008C0A68">
      <w:pPr>
        <w:tabs>
          <w:tab w:val="num" w:pos="360"/>
        </w:tabs>
        <w:spacing w:before="120"/>
        <w:contextualSpacing/>
        <w:jc w:val="both"/>
        <w:rPr>
          <w:rFonts w:eastAsia="Calibri"/>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14:paraId="6EC293CF" w14:textId="77777777" w:rsidR="008C0A68" w:rsidRPr="005C3E39" w:rsidRDefault="008C0A68" w:rsidP="008C0A68">
      <w:pPr>
        <w:tabs>
          <w:tab w:val="num" w:pos="360"/>
        </w:tabs>
        <w:spacing w:before="120"/>
        <w:contextualSpacing/>
        <w:jc w:val="both"/>
        <w:rPr>
          <w:rFonts w:eastAsia="Calibri"/>
          <w:szCs w:val="24"/>
          <w:lang w:eastAsia="en-US"/>
        </w:rPr>
      </w:pPr>
    </w:p>
    <w:p w14:paraId="39AD5C25"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Формула расчета ожидаемой доходности модели CAPM:</w:t>
      </w:r>
    </w:p>
    <w:p w14:paraId="4AB4B94E" w14:textId="77777777" w:rsidR="008C0A68" w:rsidRPr="005C3E39" w:rsidRDefault="008C0A68" w:rsidP="008C0A68">
      <w:pPr>
        <w:tabs>
          <w:tab w:val="num" w:pos="360"/>
        </w:tabs>
        <w:spacing w:before="120"/>
        <w:contextualSpacing/>
        <w:jc w:val="both"/>
        <w:rPr>
          <w:rFonts w:eastAsia="Calibri"/>
          <w:szCs w:val="24"/>
          <w:lang w:eastAsia="en-US"/>
        </w:rPr>
      </w:pPr>
    </w:p>
    <w:p w14:paraId="1235B237" w14:textId="77777777" w:rsidR="008C0A68" w:rsidRPr="005C3E39" w:rsidRDefault="008C0A68" w:rsidP="008C0A68">
      <w:pPr>
        <w:tabs>
          <w:tab w:val="num" w:pos="360"/>
        </w:tabs>
        <w:spacing w:before="120"/>
        <w:contextualSpacing/>
        <w:jc w:val="both"/>
        <w:rPr>
          <w:rFonts w:eastAsia="Calibri"/>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14:paraId="3102A965" w14:textId="77777777" w:rsidR="008C0A68" w:rsidRPr="005C3E39" w:rsidRDefault="008C0A68" w:rsidP="008C0A68">
      <w:pPr>
        <w:tabs>
          <w:tab w:val="num" w:pos="360"/>
        </w:tabs>
        <w:spacing w:before="120"/>
        <w:contextualSpacing/>
        <w:jc w:val="both"/>
        <w:rPr>
          <w:rFonts w:eastAsia="Calibri"/>
          <w:szCs w:val="24"/>
          <w:lang w:eastAsia="en-US"/>
        </w:rPr>
      </w:pPr>
    </w:p>
    <w:p w14:paraId="4E29511F" w14:textId="77777777" w:rsidR="008C0A68" w:rsidRPr="005C3E39" w:rsidRDefault="002B470C" w:rsidP="008C0A68">
      <w:pPr>
        <w:tabs>
          <w:tab w:val="num" w:pos="360"/>
        </w:tabs>
        <w:spacing w:before="120"/>
        <w:contextualSpacing/>
        <w:jc w:val="both"/>
        <w:rPr>
          <w:rFonts w:eastAsia="Calibri"/>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14:paraId="2219EC67" w14:textId="77777777" w:rsidR="008C0A68" w:rsidRPr="005C3E39" w:rsidRDefault="008C0A68" w:rsidP="008C0A68">
      <w:pPr>
        <w:tabs>
          <w:tab w:val="num" w:pos="360"/>
        </w:tabs>
        <w:spacing w:before="120"/>
        <w:contextualSpacing/>
        <w:jc w:val="both"/>
        <w:rPr>
          <w:rFonts w:eastAsia="Calibri"/>
          <w:szCs w:val="24"/>
          <w:lang w:eastAsia="en-US"/>
        </w:rPr>
      </w:pPr>
    </w:p>
    <w:p w14:paraId="578EF299"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Параметры формул расчета справедливой стоимости, модели CAPM:</w:t>
      </w:r>
    </w:p>
    <w:p w14:paraId="21FDC6DA"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8C0A68" w:rsidRPr="005C3E39">
        <w:rPr>
          <w:rFonts w:eastAsia="Calibri"/>
          <w:szCs w:val="24"/>
          <w:lang w:eastAsia="en-US"/>
        </w:rPr>
        <w:t xml:space="preserve"> – справедливая стоимость одной ценной бумаги на дату определения справедливой стоимости;</w:t>
      </w:r>
    </w:p>
    <w:p w14:paraId="1FC268EC"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8C0A68" w:rsidRPr="005C3E39">
        <w:rPr>
          <w:rFonts w:eastAsia="Calibri"/>
          <w:szCs w:val="24"/>
          <w:lang w:eastAsia="en-US"/>
        </w:rPr>
        <w:t xml:space="preserve"> – последняя определенная справедливая стоимость ценной бумаги;</w:t>
      </w:r>
    </w:p>
    <w:p w14:paraId="003FE368"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8C0A68" w:rsidRPr="005C3E39">
        <w:rPr>
          <w:rFonts w:eastAsia="Calibri"/>
          <w:szCs w:val="24"/>
          <w:lang w:eastAsia="en-US"/>
        </w:rPr>
        <w:t xml:space="preserve"> – значение рыночного индикатора на дату определения справедливой стоимости;</w:t>
      </w:r>
    </w:p>
    <w:p w14:paraId="2E03ACB4"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8C0A68" w:rsidRPr="005C3E39">
        <w:rPr>
          <w:rFonts w:eastAsia="Calibri"/>
          <w:szCs w:val="24"/>
          <w:lang w:eastAsia="en-US"/>
        </w:rPr>
        <w:t xml:space="preserve"> – значение рыночного индикатора на предыдущую дату определения справедливой стоимости.</w:t>
      </w:r>
    </w:p>
    <w:p w14:paraId="5E053767" w14:textId="77777777" w:rsidR="008C0A68" w:rsidRPr="005C3E39" w:rsidRDefault="008C0A68" w:rsidP="008C0A68">
      <w:pPr>
        <w:tabs>
          <w:tab w:val="num" w:pos="360"/>
        </w:tabs>
        <w:spacing w:before="120"/>
        <w:contextualSpacing/>
        <w:jc w:val="both"/>
        <w:rPr>
          <w:rFonts w:eastAsia="Calibri"/>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Pr="005C3E39">
        <w:rPr>
          <w:rFonts w:eastAsia="Calibri"/>
          <w:szCs w:val="24"/>
          <w:lang w:eastAsia="en-US"/>
        </w:rPr>
        <w:t xml:space="preserve"> – ожидаемая доходность ценной бумаги;</w:t>
      </w:r>
    </w:p>
    <w:p w14:paraId="092B539F" w14:textId="77777777" w:rsidR="008C0A68" w:rsidRPr="005C3E39" w:rsidRDefault="008C0A68" w:rsidP="008C0A68">
      <w:pPr>
        <w:tabs>
          <w:tab w:val="num" w:pos="360"/>
        </w:tabs>
        <w:spacing w:before="120"/>
        <w:contextualSpacing/>
        <w:jc w:val="both"/>
        <w:rPr>
          <w:rFonts w:eastAsia="Calibri"/>
          <w:szCs w:val="24"/>
          <w:lang w:eastAsia="en-US"/>
        </w:rPr>
      </w:pPr>
      <m:oMath>
        <m:r>
          <m:rPr>
            <m:sty m:val="p"/>
          </m:rPr>
          <w:rPr>
            <w:rFonts w:ascii="Cambria Math" w:hAnsi="Cambria Math"/>
            <w:color w:val="000000"/>
          </w:rPr>
          <m:t>β</m:t>
        </m:r>
      </m:oMath>
      <w:r w:rsidRPr="005C3E39">
        <w:rPr>
          <w:rFonts w:eastAsia="Calibri"/>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Pr="005C3E39">
        <w:rPr>
          <w:rFonts w:eastAsia="Calibri"/>
          <w:szCs w:val="24"/>
          <w:lang w:eastAsia="en-US"/>
        </w:rPr>
        <w:t xml:space="preserve"> используются значения, </w:t>
      </w:r>
      <w:r w:rsidRPr="005C3E39">
        <w:rPr>
          <w:rFonts w:eastAsia="Calibri"/>
          <w:szCs w:val="24"/>
          <w:lang w:eastAsia="en-US"/>
        </w:rPr>
        <w:lastRenderedPageBreak/>
        <w:t>определенные за последние 45 торговых дней, предшествующих дате определения справедливой стоимости;</w:t>
      </w:r>
    </w:p>
    <w:p w14:paraId="5E33AF23"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8C0A68" w:rsidRPr="005C3E39">
        <w:rPr>
          <w:rFonts w:eastAsia="Calibri"/>
          <w:szCs w:val="24"/>
          <w:lang w:eastAsia="en-US"/>
        </w:rPr>
        <w:t xml:space="preserve"> - доходность рыночного индикатора;</w:t>
      </w:r>
    </w:p>
    <w:p w14:paraId="7FD2AA47"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8C0A68" w:rsidRPr="005C3E39">
        <w:rPr>
          <w:rFonts w:eastAsia="Calibri"/>
          <w:szCs w:val="24"/>
          <w:lang w:eastAsia="en-US"/>
        </w:rPr>
        <w:t xml:space="preserve"> – Risk-free Rate – безрисковая ставка доходности;</w:t>
      </w:r>
    </w:p>
    <w:p w14:paraId="4FDB5A75"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14:paraId="2D2A0D4D" w14:textId="77777777" w:rsidR="008C0A68" w:rsidRPr="005C3E39" w:rsidRDefault="002B470C" w:rsidP="008C0A68">
      <w:pPr>
        <w:tabs>
          <w:tab w:val="num" w:pos="360"/>
        </w:tabs>
        <w:spacing w:before="120"/>
        <w:contextualSpacing/>
        <w:jc w:val="both"/>
        <w:rPr>
          <w:rFonts w:eastAsia="Calibri"/>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14:paraId="414D11CC"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где:</w:t>
      </w:r>
      <w:r w:rsidRPr="005C3E39">
        <w:rPr>
          <w:rFonts w:eastAsia="Calibri"/>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5C3E39">
        <w:rPr>
          <w:rFonts w:eastAsia="Calibri"/>
          <w:szCs w:val="24"/>
          <w:lang w:eastAsia="en-US"/>
        </w:rPr>
        <w:t xml:space="preserve"> - количество календарных дней между указанными датами.</w:t>
      </w:r>
    </w:p>
    <w:p w14:paraId="44B09C3F"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8C0A68" w:rsidRPr="005C3E39">
        <w:rPr>
          <w:rFonts w:eastAsia="Calibri"/>
          <w:szCs w:val="24"/>
          <w:lang w:eastAsia="en-US"/>
        </w:rPr>
        <w:t xml:space="preserve"> –дата определения справедливой стоимости;</w:t>
      </w:r>
    </w:p>
    <w:p w14:paraId="4666EE42"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8C0A68" w:rsidRPr="005C3E39">
        <w:rPr>
          <w:rFonts w:eastAsia="Calibri"/>
          <w:szCs w:val="24"/>
          <w:lang w:eastAsia="en-US"/>
        </w:rPr>
        <w:t xml:space="preserve"> – предыдущая дата определения справедливой стоимости.</w:t>
      </w:r>
    </w:p>
    <w:p w14:paraId="75CF3DDA" w14:textId="77777777" w:rsidR="008C0A68" w:rsidRPr="005C3E39" w:rsidRDefault="008C0A68" w:rsidP="008C0A68">
      <w:pPr>
        <w:tabs>
          <w:tab w:val="num" w:pos="360"/>
        </w:tabs>
        <w:spacing w:before="120"/>
        <w:contextualSpacing/>
        <w:jc w:val="both"/>
        <w:rPr>
          <w:rFonts w:eastAsia="Calibri"/>
          <w:szCs w:val="24"/>
          <w:lang w:eastAsia="en-US"/>
        </w:rPr>
      </w:pPr>
    </w:p>
    <w:p w14:paraId="2A84D945"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Для акций российских эмитентов, торгуемых на Московской Бирже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w:t>
      </w:r>
    </w:p>
    <w:p w14:paraId="458FF652"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В расчете используются:</w:t>
      </w:r>
    </w:p>
    <w:p w14:paraId="3EE981DA"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-методика расчёта кривой бескупонной доходности государственных облигаций, определенная Московской биржей;</w:t>
      </w:r>
    </w:p>
    <w:p w14:paraId="1F276EC6"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-динамические параметры G-кривой по состоянию на каждый торговый день, публикуемые на официальном сайте Московской биржи.</w:t>
      </w:r>
    </w:p>
    <w:p w14:paraId="46D16EF5" w14:textId="77777777" w:rsidR="008C0A68" w:rsidRPr="005C3E39" w:rsidRDefault="008C0A68" w:rsidP="008C0A68">
      <w:pPr>
        <w:tabs>
          <w:tab w:val="num" w:pos="360"/>
        </w:tabs>
        <w:spacing w:before="120"/>
        <w:contextualSpacing/>
        <w:jc w:val="both"/>
        <w:rPr>
          <w:rFonts w:eastAsia="Calibri"/>
          <w:szCs w:val="24"/>
          <w:lang w:eastAsia="en-US"/>
        </w:rPr>
      </w:pPr>
    </w:p>
    <w:p w14:paraId="6B9A7C5A"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Ставка КБД рассчитывается без промежуточных округлений с точностью до 2 знаков после запятой (в процентном выражении).</w:t>
      </w:r>
    </w:p>
    <w:p w14:paraId="20A17040" w14:textId="77777777" w:rsidR="008C0A68" w:rsidRPr="005C3E39" w:rsidRDefault="008C0A68" w:rsidP="008C0A68">
      <w:pPr>
        <w:tabs>
          <w:tab w:val="num" w:pos="360"/>
        </w:tabs>
        <w:spacing w:before="120"/>
        <w:contextualSpacing/>
        <w:jc w:val="both"/>
        <w:rPr>
          <w:rFonts w:eastAsia="Calibri"/>
          <w:szCs w:val="24"/>
          <w:lang w:eastAsia="en-US"/>
        </w:rPr>
      </w:pPr>
    </w:p>
    <w:p w14:paraId="6C5BFBEC"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Бета коэффициент - β</w:t>
      </w:r>
    </w:p>
    <w:p w14:paraId="1FDC812D" w14:textId="77777777" w:rsidR="008C0A68" w:rsidRPr="005C3E39" w:rsidRDefault="008C0A68" w:rsidP="008C0A68">
      <w:pPr>
        <w:tabs>
          <w:tab w:val="num" w:pos="360"/>
        </w:tabs>
        <w:spacing w:before="120"/>
        <w:contextualSpacing/>
        <w:jc w:val="both"/>
        <w:rPr>
          <w:rFonts w:eastAsia="Calibri"/>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14:paraId="69545950" w14:textId="77777777" w:rsidR="008C0A68" w:rsidRPr="005C3E39" w:rsidRDefault="008C0A68" w:rsidP="008C0A68">
      <w:pPr>
        <w:tabs>
          <w:tab w:val="num" w:pos="360"/>
        </w:tabs>
        <w:spacing w:before="120"/>
        <w:contextualSpacing/>
        <w:jc w:val="both"/>
        <w:rPr>
          <w:rFonts w:eastAsia="Calibri"/>
          <w:szCs w:val="24"/>
          <w:lang w:eastAsia="en-US"/>
        </w:rPr>
      </w:pPr>
    </w:p>
    <w:p w14:paraId="63F33437" w14:textId="77777777" w:rsidR="008C0A68" w:rsidRPr="005C3E39" w:rsidRDefault="002B470C" w:rsidP="008C0A68">
      <w:pPr>
        <w:tabs>
          <w:tab w:val="num" w:pos="360"/>
        </w:tabs>
        <w:spacing w:before="120"/>
        <w:contextualSpacing/>
        <w:jc w:val="both"/>
        <w:rPr>
          <w:rFonts w:eastAsia="Calibri"/>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14:paraId="0427203D" w14:textId="77777777" w:rsidR="008C0A68" w:rsidRPr="005C3E39" w:rsidRDefault="008C0A68" w:rsidP="008C0A68">
      <w:pPr>
        <w:tabs>
          <w:tab w:val="num" w:pos="360"/>
        </w:tabs>
        <w:spacing w:before="120"/>
        <w:contextualSpacing/>
        <w:jc w:val="both"/>
        <w:rPr>
          <w:rFonts w:eastAsia="Calibri"/>
          <w:szCs w:val="24"/>
          <w:lang w:eastAsia="en-US"/>
        </w:rPr>
      </w:pPr>
    </w:p>
    <w:p w14:paraId="6C0C7A1B"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8C0A68" w:rsidRPr="005C3E39">
        <w:rPr>
          <w:rFonts w:eastAsia="Calibri"/>
          <w:szCs w:val="24"/>
          <w:lang w:eastAsia="en-US"/>
        </w:rPr>
        <w:t xml:space="preserve"> - доходность актива;</w:t>
      </w:r>
    </w:p>
    <w:p w14:paraId="35B5559F"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8C0A68" w:rsidRPr="005C3E39">
        <w:rPr>
          <w:rFonts w:eastAsia="Calibri"/>
          <w:szCs w:val="24"/>
          <w:lang w:eastAsia="en-US"/>
        </w:rPr>
        <w:t xml:space="preserve"> – цена закрытия актива на дату </w:t>
      </w:r>
      <m:oMath>
        <m:r>
          <m:rPr>
            <m:sty m:val="p"/>
          </m:rPr>
          <w:rPr>
            <w:rFonts w:ascii="Cambria Math" w:hAnsi="Cambria Math"/>
            <w:color w:val="000000"/>
          </w:rPr>
          <m:t>i</m:t>
        </m:r>
      </m:oMath>
      <w:r w:rsidR="008C0A68" w:rsidRPr="005C3E39">
        <w:rPr>
          <w:rFonts w:eastAsia="Calibri"/>
          <w:szCs w:val="24"/>
          <w:lang w:eastAsia="en-US"/>
        </w:rPr>
        <w:t>;</w:t>
      </w:r>
    </w:p>
    <w:p w14:paraId="08A27953"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8C0A68" w:rsidRPr="005C3E39">
        <w:rPr>
          <w:rFonts w:eastAsia="Calibri"/>
          <w:szCs w:val="24"/>
          <w:lang w:eastAsia="en-US"/>
        </w:rPr>
        <w:t xml:space="preserve"> – предыдущая цена закрытия актива;</w:t>
      </w:r>
    </w:p>
    <w:p w14:paraId="5C152058"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8C0A68" w:rsidRPr="005C3E39">
        <w:rPr>
          <w:rFonts w:eastAsia="Calibri"/>
          <w:szCs w:val="24"/>
          <w:lang w:eastAsia="en-US"/>
        </w:rPr>
        <w:t xml:space="preserve"> - доходность рыночного индикатора;</w:t>
      </w:r>
    </w:p>
    <w:p w14:paraId="3186BCD7"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8C0A68" w:rsidRPr="005C3E39">
        <w:rPr>
          <w:rFonts w:eastAsia="Calibri"/>
          <w:szCs w:val="24"/>
          <w:lang w:eastAsia="en-US"/>
        </w:rPr>
        <w:t xml:space="preserve"> – значение рыночного индикатора на дату </w:t>
      </w:r>
      <m:oMath>
        <m:r>
          <m:rPr>
            <m:sty m:val="p"/>
          </m:rPr>
          <w:rPr>
            <w:rFonts w:ascii="Cambria Math" w:hAnsi="Cambria Math"/>
            <w:color w:val="000000"/>
          </w:rPr>
          <m:t>i</m:t>
        </m:r>
      </m:oMath>
      <w:r w:rsidR="008C0A68" w:rsidRPr="005C3E39">
        <w:rPr>
          <w:rFonts w:eastAsia="Calibri"/>
          <w:szCs w:val="24"/>
          <w:lang w:eastAsia="en-US"/>
        </w:rPr>
        <w:t>;</w:t>
      </w:r>
    </w:p>
    <w:p w14:paraId="19075B06" w14:textId="77777777" w:rsidR="008C0A68" w:rsidRPr="005C3E39" w:rsidRDefault="002B470C" w:rsidP="008C0A68">
      <w:pPr>
        <w:tabs>
          <w:tab w:val="num" w:pos="360"/>
        </w:tabs>
        <w:spacing w:before="120"/>
        <w:contextualSpacing/>
        <w:jc w:val="both"/>
        <w:rPr>
          <w:rFonts w:eastAsia="Calibri"/>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8C0A68" w:rsidRPr="005C3E39">
        <w:rPr>
          <w:rFonts w:eastAsia="Calibri"/>
          <w:szCs w:val="24"/>
          <w:lang w:eastAsia="en-US"/>
        </w:rPr>
        <w:t xml:space="preserve"> – предыдущее значение рыночного индикатора;</w:t>
      </w:r>
    </w:p>
    <w:p w14:paraId="4A3BC3A1" w14:textId="77777777" w:rsidR="008C0A68" w:rsidRPr="005C3E39" w:rsidRDefault="008C0A68" w:rsidP="008C0A68">
      <w:pPr>
        <w:tabs>
          <w:tab w:val="num" w:pos="360"/>
        </w:tabs>
        <w:spacing w:before="120"/>
        <w:contextualSpacing/>
        <w:jc w:val="both"/>
        <w:rPr>
          <w:rFonts w:eastAsia="Calibri"/>
          <w:szCs w:val="24"/>
          <w:lang w:eastAsia="en-US"/>
        </w:rPr>
      </w:pPr>
      <m:oMath>
        <m:r>
          <m:rPr>
            <m:sty m:val="p"/>
          </m:rPr>
          <w:rPr>
            <w:rFonts w:ascii="Cambria Math" w:hAnsi="Cambria Math"/>
            <w:color w:val="000000"/>
          </w:rPr>
          <m:t>i=1…N</m:t>
        </m:r>
      </m:oMath>
      <w:r w:rsidRPr="005C3E39">
        <w:rPr>
          <w:rFonts w:eastAsia="Calibri"/>
          <w:szCs w:val="24"/>
          <w:lang w:eastAsia="en-US"/>
        </w:rPr>
        <w:t xml:space="preserve">, торговые дни, предшествующие дате определения справедливой стоимости. </w:t>
      </w:r>
    </w:p>
    <w:p w14:paraId="71CCD825" w14:textId="77777777" w:rsidR="008C0A68" w:rsidRPr="005C3E39" w:rsidRDefault="008C0A68" w:rsidP="008C0A68">
      <w:pPr>
        <w:tabs>
          <w:tab w:val="num" w:pos="360"/>
        </w:tabs>
        <w:spacing w:before="120"/>
        <w:contextualSpacing/>
        <w:jc w:val="both"/>
        <w:rPr>
          <w:rFonts w:eastAsia="Calibri"/>
          <w:szCs w:val="24"/>
          <w:lang w:eastAsia="en-US"/>
        </w:rPr>
      </w:pPr>
    </w:p>
    <w:p w14:paraId="5A8CE96B"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14:paraId="6AE38FF3" w14:textId="77777777" w:rsidR="008C0A68" w:rsidRPr="005C3E39" w:rsidRDefault="008C0A68" w:rsidP="008C0A68">
      <w:pPr>
        <w:tabs>
          <w:tab w:val="num" w:pos="360"/>
        </w:tabs>
        <w:spacing w:before="120"/>
        <w:contextualSpacing/>
        <w:jc w:val="both"/>
        <w:rPr>
          <w:rFonts w:eastAsia="Calibri"/>
          <w:szCs w:val="24"/>
          <w:lang w:eastAsia="en-US"/>
        </w:rPr>
      </w:pPr>
    </w:p>
    <w:p w14:paraId="37165490"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14:paraId="6EB6F8BE"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При использовании модели CAPM в целях расчета Бета коэффициента:</w:t>
      </w:r>
    </w:p>
    <w:p w14:paraId="7C718875"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для акций российских эмитентов применяются значения Цены закрытия на Московской Бирже при условии подтверждении ее корректности в соответствии с порядком определения справедливой стоимости ценных бумаг 1 уровня.</w:t>
      </w:r>
    </w:p>
    <w:p w14:paraId="2A8CDF06"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lastRenderedPageBreak/>
        <w:t>Полученное значение Бета коэффициента округляется по правилам математического округления до пяти десятичных знаков.</w:t>
      </w:r>
    </w:p>
    <w:p w14:paraId="7954C005"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5C3E39">
        <w:rPr>
          <w:rFonts w:eastAsia="Calibri"/>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5C3E39">
        <w:rPr>
          <w:rFonts w:eastAsia="Calibri"/>
          <w:szCs w:val="24"/>
          <w:lang w:eastAsia="en-US"/>
        </w:rPr>
        <w:t xml:space="preserve"> рассчитываются без промежуточных округлений.</w:t>
      </w:r>
    </w:p>
    <w:p w14:paraId="43576DA9" w14:textId="77777777" w:rsidR="008C0A68" w:rsidRPr="005C3E39" w:rsidRDefault="008C0A68" w:rsidP="008C0A68">
      <w:pPr>
        <w:tabs>
          <w:tab w:val="num" w:pos="360"/>
        </w:tabs>
        <w:spacing w:before="120"/>
        <w:contextualSpacing/>
        <w:jc w:val="both"/>
        <w:rPr>
          <w:rFonts w:eastAsia="Calibri"/>
          <w:szCs w:val="24"/>
          <w:lang w:eastAsia="en-US"/>
        </w:rPr>
      </w:pPr>
    </w:p>
    <w:p w14:paraId="0C16D154"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Прочие условия:</w:t>
      </w:r>
    </w:p>
    <w:p w14:paraId="62692A54"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Цена закрытия актива на дату определения справедливой стоимости в модели не учитывается.</w:t>
      </w:r>
    </w:p>
    <w:p w14:paraId="7789B5CC"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14:paraId="791058C7"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14:paraId="032ACC4C"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14:paraId="1BEC38C8"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14:paraId="504B1AD6" w14:textId="77777777" w:rsidR="008C0A68" w:rsidRPr="005C3E39" w:rsidRDefault="008C0A68" w:rsidP="008C0A68">
      <w:pPr>
        <w:numPr>
          <w:ilvl w:val="0"/>
          <w:numId w:val="3"/>
        </w:numPr>
        <w:spacing w:before="120"/>
        <w:ind w:left="709" w:hanging="709"/>
        <w:contextualSpacing/>
        <w:jc w:val="both"/>
        <w:rPr>
          <w:rFonts w:eastAsia="Calibri"/>
          <w:szCs w:val="24"/>
          <w:lang w:eastAsia="en-US"/>
        </w:rPr>
      </w:pPr>
      <w:r w:rsidRPr="005C3E39">
        <w:rPr>
          <w:rFonts w:eastAsia="Calibri"/>
          <w:szCs w:val="24"/>
          <w:lang w:eastAsia="en-US"/>
        </w:rPr>
        <w:t>цена закрытия;</w:t>
      </w:r>
    </w:p>
    <w:p w14:paraId="6C516DD7" w14:textId="77777777" w:rsidR="008C0A68" w:rsidRPr="005C3E39" w:rsidRDefault="008C0A68" w:rsidP="008C0A68">
      <w:pPr>
        <w:numPr>
          <w:ilvl w:val="0"/>
          <w:numId w:val="3"/>
        </w:numPr>
        <w:spacing w:before="120"/>
        <w:ind w:left="567" w:hanging="567"/>
        <w:contextualSpacing/>
        <w:jc w:val="both"/>
        <w:rPr>
          <w:rFonts w:eastAsia="Calibri"/>
          <w:szCs w:val="24"/>
          <w:lang w:eastAsia="en-US"/>
        </w:rPr>
      </w:pPr>
      <w:r w:rsidRPr="005C3E39">
        <w:rPr>
          <w:rFonts w:eastAsia="Calibri"/>
          <w:szCs w:val="24"/>
          <w:lang w:eastAsia="en-US"/>
        </w:rPr>
        <w:t xml:space="preserve"> значение рыночного индикатора.</w:t>
      </w:r>
    </w:p>
    <w:p w14:paraId="0AEFB2BE" w14:textId="324E5B6D" w:rsidR="008C0A68" w:rsidRPr="005C3E39" w:rsidRDefault="008C0A68" w:rsidP="008C0A68">
      <w:pPr>
        <w:jc w:val="both"/>
        <w:rPr>
          <w:b/>
          <w:i/>
          <w:szCs w:val="24"/>
        </w:rPr>
      </w:pPr>
      <w:r w:rsidRPr="005C3E39">
        <w:rPr>
          <w:b/>
          <w:i/>
          <w:szCs w:val="24"/>
        </w:rPr>
        <w:t xml:space="preserve">Справедливая  стоимость акций иностранных эмитентов, в том числе акций международных компаний определяется  по модели CAPM аналогична модели для российских акций, с учетом некоторых особенностей применения: </w:t>
      </w:r>
    </w:p>
    <w:p w14:paraId="28A8CA36"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В качестве рыночного индикатора (бенчмарка) акций иностранных эмитентов, паев (акций) иностранных фондов, торгуемых на российских и (или) иностранных биржах, а также акций международных компаний используется индекс биржи, на которой определена справедливая цена уровня 1 иерархии справедливой стоимости данной ценной бумаги на дату, предшествующую дате возникновения оснований для применения модели CAPМ.</w:t>
      </w:r>
    </w:p>
    <w:p w14:paraId="6E625361" w14:textId="03CE49BF" w:rsidR="008C0A68" w:rsidRPr="005C3E39" w:rsidRDefault="008C0A68" w:rsidP="008C0A68">
      <w:pPr>
        <w:tabs>
          <w:tab w:val="num" w:pos="360"/>
        </w:tabs>
        <w:spacing w:before="120"/>
        <w:contextualSpacing/>
        <w:jc w:val="both"/>
        <w:rPr>
          <w:rFonts w:eastAsia="Calibri"/>
          <w:szCs w:val="24"/>
          <w:lang w:eastAsia="en-US"/>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0107"/>
      </w:tblGrid>
      <w:tr w:rsidR="008C0A68" w14:paraId="37AA0AEC" w14:textId="77777777" w:rsidTr="00E41AB9">
        <w:trPr>
          <w:trHeight w:val="827"/>
        </w:trPr>
        <w:tc>
          <w:tcPr>
            <w:tcW w:w="10107" w:type="dxa"/>
          </w:tcPr>
          <w:p w14:paraId="4D25A14E" w14:textId="5D4FC9E5" w:rsidR="008C0A68" w:rsidRDefault="008C0A68" w:rsidP="00E41AB9">
            <w:pPr>
              <w:tabs>
                <w:tab w:val="num" w:pos="360"/>
              </w:tabs>
              <w:spacing w:before="120"/>
              <w:contextualSpacing/>
              <w:jc w:val="both"/>
              <w:rPr>
                <w:sz w:val="22"/>
                <w:szCs w:val="22"/>
              </w:rPr>
            </w:pPr>
            <w:r w:rsidRPr="009052E7">
              <w:rPr>
                <w:rFonts w:eastAsia="Calibri"/>
                <w:szCs w:val="24"/>
                <w:lang w:eastAsia="en-US"/>
              </w:rPr>
              <w:t>Для акций иностранных эмитентов, паев (акций) иностранных фондов, акций международных компаний в качестве безрисковой ставки доходности применяется ставка по государственным бумагам в валюте, соответствующей валюте исходной котировки 1 уровня оцениваемой акции (пая)..</w:t>
            </w:r>
            <w:r>
              <w:rPr>
                <w:sz w:val="22"/>
                <w:szCs w:val="22"/>
              </w:rPr>
              <w:t xml:space="preserve"> </w:t>
            </w:r>
          </w:p>
        </w:tc>
      </w:tr>
    </w:tbl>
    <w:p w14:paraId="1171D48E" w14:textId="59013E61"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В целях расчета Бета коэффициента для акций иностранных эмитентов,  паев (акций) иностранных фондов, акций международных компаний применяются значения Цены закрытия биржи (при условии подтверждения ее корректности в соответствии с порядком определения справедливой стоимости ценных бумаг на 1 уровне), на которой определена надлежащая котировка уровня 1 иерархии справедливой стоимости на дату, предшествующую дате возникновения оснований для применения модели CAPМ</w:t>
      </w:r>
    </w:p>
    <w:p w14:paraId="56F416BD" w14:textId="77777777" w:rsidR="008C0A68" w:rsidRPr="005C3E39" w:rsidRDefault="008C0A68" w:rsidP="008C0A68">
      <w:pPr>
        <w:tabs>
          <w:tab w:val="num" w:pos="360"/>
        </w:tabs>
        <w:spacing w:before="120"/>
        <w:contextualSpacing/>
        <w:jc w:val="both"/>
        <w:rPr>
          <w:rFonts w:eastAsia="Calibri"/>
          <w:szCs w:val="24"/>
          <w:lang w:eastAsia="en-US"/>
        </w:rPr>
      </w:pPr>
    </w:p>
    <w:p w14:paraId="7A9155E2" w14:textId="77777777" w:rsidR="008C0A68" w:rsidRPr="005C3E39" w:rsidRDefault="008C0A68" w:rsidP="008C0A68">
      <w:pPr>
        <w:jc w:val="both"/>
        <w:rPr>
          <w:b/>
          <w:szCs w:val="24"/>
        </w:rPr>
      </w:pPr>
    </w:p>
    <w:p w14:paraId="3498B710" w14:textId="77777777" w:rsidR="008C0A68" w:rsidRPr="005C3E39" w:rsidRDefault="008C0A68" w:rsidP="008C0A68">
      <w:pPr>
        <w:spacing w:before="120"/>
        <w:ind w:left="567"/>
        <w:contextualSpacing/>
        <w:jc w:val="both"/>
        <w:rPr>
          <w:rFonts w:ascii="Verdana" w:hAnsi="Verdana"/>
          <w:sz w:val="20"/>
          <w:szCs w:val="22"/>
          <w:lang w:eastAsia="en-US"/>
        </w:rPr>
      </w:pPr>
      <w:r w:rsidRPr="005C3E39">
        <w:rPr>
          <w:rFonts w:eastAsia="Calibri"/>
          <w:szCs w:val="24"/>
          <w:lang w:eastAsia="en-US"/>
        </w:rPr>
        <w:t xml:space="preserve">Справедливая стоимость </w:t>
      </w:r>
      <w:r w:rsidRPr="005C3E39">
        <w:rPr>
          <w:rFonts w:eastAsia="Calibri"/>
          <w:b/>
          <w:i/>
          <w:szCs w:val="24"/>
          <w:lang w:eastAsia="en-US"/>
        </w:rPr>
        <w:t>акций российских эмитентов</w:t>
      </w:r>
      <w:r w:rsidRPr="005C3E39">
        <w:rPr>
          <w:rFonts w:eastAsia="Calibri"/>
          <w:szCs w:val="24"/>
          <w:lang w:eastAsia="en-US"/>
        </w:rPr>
        <w:t xml:space="preserve"> в случае приобретения в период размещения с даты приобретения и до появления цен 1 уровня, но не более 10 рабочих дней с даты, следующей за датой окончания размещения</w:t>
      </w:r>
      <w:r>
        <w:rPr>
          <w:rFonts w:eastAsia="Calibri"/>
          <w:szCs w:val="24"/>
          <w:lang w:eastAsia="en-US"/>
        </w:rPr>
        <w:t>/</w:t>
      </w:r>
      <w:r>
        <w:rPr>
          <w:szCs w:val="24"/>
          <w:lang w:eastAsia="en-US"/>
        </w:rPr>
        <w:t>приобретения акций</w:t>
      </w:r>
      <w:r w:rsidRPr="005C3E39">
        <w:rPr>
          <w:rFonts w:eastAsia="Calibri"/>
          <w:szCs w:val="24"/>
          <w:lang w:eastAsia="en-US"/>
        </w:rPr>
        <w:t>, допустимо использовать цену размещения без корректировки. В отсутствии цен 1-го уровня свыше указанного срока применяется оценка на основании исходных данных 3-го уровня. Управляющая компания по своему усмотрению может перейти на оценку с использованием исходных данных 3-го уровня до истечения указанного срока, обосновав свое решение мотивированным суждением.</w:t>
      </w:r>
    </w:p>
    <w:p w14:paraId="61B3B34F" w14:textId="77777777" w:rsidR="008C0A68" w:rsidRPr="005C3E39" w:rsidRDefault="008C0A68" w:rsidP="008C0A68">
      <w:pPr>
        <w:jc w:val="both"/>
        <w:rPr>
          <w:b/>
          <w:szCs w:val="24"/>
        </w:rPr>
      </w:pPr>
    </w:p>
    <w:p w14:paraId="45F2B704" w14:textId="77777777" w:rsidR="008C0A68" w:rsidRPr="005C3E39" w:rsidRDefault="008C0A68" w:rsidP="008C0A68">
      <w:pPr>
        <w:jc w:val="both"/>
        <w:rPr>
          <w:b/>
          <w:bCs/>
          <w:i/>
          <w:color w:val="000000"/>
          <w:szCs w:val="24"/>
        </w:rPr>
      </w:pPr>
      <w:r w:rsidRPr="005C3E39">
        <w:rPr>
          <w:b/>
          <w:bCs/>
          <w:i/>
          <w:color w:val="000000"/>
          <w:szCs w:val="24"/>
        </w:rPr>
        <w:lastRenderedPageBreak/>
        <w:t>Справедливая стоимость облигаций международных или российских компаний с хранением через НРД, облигаций иностранного эмитента с обязанным лицом в РФ с хранением через НРД, ГОВОЗ с хранением через НРД. Применимо для ценных бумаг с фактической возможностью распоряжения (совершать сделки на организованных торгах).</w:t>
      </w:r>
    </w:p>
    <w:p w14:paraId="0B63DBB7" w14:textId="77777777" w:rsidR="008C0A68" w:rsidRPr="005C3E39" w:rsidRDefault="008C0A68" w:rsidP="008C0A68">
      <w:pPr>
        <w:jc w:val="both"/>
        <w:rPr>
          <w:b/>
          <w:i/>
          <w:szCs w:val="24"/>
        </w:rPr>
      </w:pPr>
      <w:r w:rsidRPr="005C3E39">
        <w:rPr>
          <w:b/>
          <w:bCs/>
          <w:i/>
          <w:color w:val="000000"/>
          <w:szCs w:val="24"/>
        </w:rPr>
        <w:t>Приоритетность цен с учетом наличия доступа к указанным ценам, а также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w:t>
      </w:r>
    </w:p>
    <w:p w14:paraId="10F0A4FE" w14:textId="77777777" w:rsidR="008C0A68" w:rsidRPr="005C3E39" w:rsidRDefault="008C0A68" w:rsidP="008C0A68">
      <w:pPr>
        <w:spacing w:before="120" w:after="240"/>
        <w:contextualSpacing/>
        <w:jc w:val="both"/>
        <w:rPr>
          <w:szCs w:val="24"/>
        </w:rPr>
      </w:pPr>
    </w:p>
    <w:p w14:paraId="27648F3B" w14:textId="486BE7B4" w:rsidR="008C0A68" w:rsidRPr="005C3E39" w:rsidRDefault="008C0A68" w:rsidP="008C0A68">
      <w:pPr>
        <w:spacing w:before="120"/>
        <w:ind w:left="720"/>
        <w:contextualSpacing/>
        <w:jc w:val="both"/>
        <w:rPr>
          <w:rFonts w:eastAsia="Calibri"/>
          <w:szCs w:val="24"/>
          <w:lang w:eastAsia="en-US"/>
        </w:rPr>
      </w:pPr>
      <w:r w:rsidRPr="009052E7">
        <w:rPr>
          <w:rFonts w:eastAsia="Calibri"/>
          <w:szCs w:val="24"/>
          <w:lang w:eastAsia="en-US"/>
        </w:rPr>
        <w:t>1. цена, рассчитанная Ценовым Центром НКО АО НРД методологиям определения справедливой стоимости, утвержденным 01.12.2017г и позднее, по методу 1 или методу 2 на основании данных исключительно из российских источников</w:t>
      </w:r>
      <w:r w:rsidR="00E41AB9">
        <w:rPr>
          <w:szCs w:val="24"/>
        </w:rPr>
        <w:t>.</w:t>
      </w:r>
    </w:p>
    <w:p w14:paraId="2B6A82AC" w14:textId="3CDBD09D" w:rsidR="0091184E" w:rsidRPr="005C3E39" w:rsidRDefault="008C0A68" w:rsidP="00F60381">
      <w:pPr>
        <w:spacing w:before="120"/>
        <w:ind w:left="720"/>
        <w:contextualSpacing/>
        <w:jc w:val="both"/>
        <w:rPr>
          <w:rFonts w:eastAsia="Calibri"/>
          <w:szCs w:val="24"/>
          <w:lang w:eastAsia="en-US"/>
        </w:rPr>
      </w:pPr>
      <w:r w:rsidRPr="005C3E39">
        <w:rPr>
          <w:rFonts w:eastAsia="Calibri"/>
          <w:szCs w:val="24"/>
          <w:lang w:eastAsia="en-US"/>
        </w:rPr>
        <w:t xml:space="preserve">        </w:t>
      </w:r>
      <w:r w:rsidR="00063BFF">
        <w:rPr>
          <w:rFonts w:eastAsia="Calibri"/>
          <w:szCs w:val="24"/>
          <w:lang w:eastAsia="en-US"/>
        </w:rPr>
        <w:t>2</w:t>
      </w:r>
      <w:r w:rsidRPr="005C3E39">
        <w:rPr>
          <w:rFonts w:eastAsia="Calibri"/>
          <w:szCs w:val="24"/>
          <w:lang w:eastAsia="en-US"/>
        </w:rPr>
        <w:t>. Средняя индикативная цена, определенная по методике «Cbonds Estimation Onshore»</w:t>
      </w:r>
    </w:p>
    <w:p w14:paraId="0516B681" w14:textId="20C29C6B" w:rsidR="008C0A68" w:rsidRPr="00F60381" w:rsidRDefault="0091184E" w:rsidP="00F60381">
      <w:pPr>
        <w:spacing w:before="120"/>
        <w:ind w:left="720"/>
        <w:contextualSpacing/>
        <w:jc w:val="both"/>
        <w:rPr>
          <w:rFonts w:eastAsia="Calibri"/>
          <w:szCs w:val="24"/>
          <w:lang w:eastAsia="en-US"/>
        </w:rPr>
      </w:pPr>
      <w:r>
        <w:rPr>
          <w:rFonts w:eastAsia="Calibri"/>
          <w:szCs w:val="24"/>
          <w:lang w:eastAsia="en-US"/>
        </w:rPr>
        <w:t xml:space="preserve">3. </w:t>
      </w:r>
      <w:r w:rsidR="008C0A68" w:rsidRPr="00F60381">
        <w:rPr>
          <w:rFonts w:eastAsia="Calibri"/>
          <w:szCs w:val="24"/>
          <w:lang w:eastAsia="en-US"/>
        </w:rPr>
        <w:t xml:space="preserve"> Одна из перечисленных ниже цен рынка, не признанного активным, при условии подтверждения ее корректности:</w:t>
      </w:r>
    </w:p>
    <w:p w14:paraId="53642A3C" w14:textId="77777777" w:rsidR="008C0A68" w:rsidRPr="005C3E39" w:rsidRDefault="008C0A68" w:rsidP="008C0A68">
      <w:pPr>
        <w:contextualSpacing/>
        <w:mirrorIndents/>
        <w:jc w:val="both"/>
        <w:rPr>
          <w:rFonts w:eastAsia="Calibri"/>
          <w:szCs w:val="24"/>
          <w:lang w:eastAsia="en-US"/>
        </w:rPr>
      </w:pPr>
      <w:r w:rsidRPr="005C3E39">
        <w:rPr>
          <w:rFonts w:eastAsia="Calibri"/>
          <w:szCs w:val="24"/>
          <w:lang w:val="en-US" w:eastAsia="en-US"/>
        </w:rPr>
        <w:t>a</w:t>
      </w:r>
      <w:r w:rsidRPr="005C3E39">
        <w:rPr>
          <w:rFonts w:eastAsia="Calibri"/>
          <w:szCs w:val="24"/>
          <w:lang w:eastAsia="en-US"/>
        </w:rPr>
        <w:t>) цена спроса (</w:t>
      </w:r>
      <w:r w:rsidRPr="005C3E39">
        <w:rPr>
          <w:rFonts w:eastAsia="Calibri"/>
          <w:szCs w:val="24"/>
          <w:lang w:val="en-US" w:eastAsia="en-US"/>
        </w:rPr>
        <w:t>Bid</w:t>
      </w:r>
      <w:r w:rsidRPr="005C3E39">
        <w:rPr>
          <w:rFonts w:eastAsia="Calibri"/>
          <w:szCs w:val="24"/>
          <w:lang w:eastAsia="en-US"/>
        </w:rPr>
        <w:t>) на момент окончания торговой сессии Московской биржи на дату определения СЧА при условии подтверждения ее корректности;</w:t>
      </w:r>
    </w:p>
    <w:p w14:paraId="44B5228D" w14:textId="77777777" w:rsidR="008C0A68" w:rsidRPr="005C3E39" w:rsidRDefault="008C0A68" w:rsidP="008C0A68">
      <w:pPr>
        <w:tabs>
          <w:tab w:val="num" w:pos="360"/>
        </w:tabs>
        <w:contextualSpacing/>
        <w:mirrorIndents/>
        <w:jc w:val="both"/>
        <w:rPr>
          <w:rFonts w:eastAsia="Calibri"/>
          <w:szCs w:val="24"/>
          <w:lang w:eastAsia="en-US"/>
        </w:rPr>
      </w:pPr>
      <w:r w:rsidRPr="005C3E39">
        <w:rPr>
          <w:rFonts w:eastAsia="Calibri"/>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(включая границы интервала) сделок на эту же дату этой же биржи;   </w:t>
      </w:r>
    </w:p>
    <w:p w14:paraId="73FB647E" w14:textId="77777777" w:rsidR="008C0A68" w:rsidRPr="005C3E39" w:rsidRDefault="008C0A68" w:rsidP="008C0A68">
      <w:pPr>
        <w:contextualSpacing/>
        <w:mirrorIndents/>
        <w:jc w:val="both"/>
        <w:rPr>
          <w:rFonts w:eastAsia="Calibri"/>
          <w:szCs w:val="24"/>
          <w:lang w:eastAsia="en-US"/>
        </w:rPr>
      </w:pPr>
      <w:r w:rsidRPr="005C3E39">
        <w:rPr>
          <w:rFonts w:eastAsia="Calibri"/>
          <w:szCs w:val="24"/>
          <w:lang w:val="en-US" w:eastAsia="en-US"/>
        </w:rPr>
        <w:t>b</w:t>
      </w:r>
      <w:r w:rsidRPr="005C3E39">
        <w:rPr>
          <w:rFonts w:eastAsia="Calibri"/>
          <w:szCs w:val="24"/>
          <w:lang w:eastAsia="en-US"/>
        </w:rPr>
        <w:t>) 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цене спрос</w:t>
      </w:r>
      <w:r w:rsidRPr="005C3E39">
        <w:rPr>
          <w:rFonts w:eastAsia="Calibri"/>
          <w:szCs w:val="24"/>
          <w:lang w:val="en-US" w:eastAsia="en-US"/>
        </w:rPr>
        <w:t>a</w:t>
      </w:r>
      <w:r w:rsidRPr="005C3E39">
        <w:rPr>
          <w:rFonts w:eastAsia="Calibri"/>
          <w:szCs w:val="24"/>
          <w:lang w:eastAsia="en-US"/>
        </w:rPr>
        <w:t xml:space="preserve"> (</w:t>
      </w:r>
      <w:r w:rsidRPr="005C3E39">
        <w:rPr>
          <w:rFonts w:eastAsia="Calibri"/>
          <w:szCs w:val="24"/>
          <w:lang w:val="en-US" w:eastAsia="en-US"/>
        </w:rPr>
        <w:t>Bid</w:t>
      </w:r>
      <w:r w:rsidRPr="005C3E39">
        <w:rPr>
          <w:rFonts w:eastAsia="Calibri"/>
          <w:szCs w:val="24"/>
          <w:lang w:eastAsia="en-US"/>
        </w:rPr>
        <w:t>) и цене предложения (</w:t>
      </w:r>
      <w:r w:rsidRPr="005C3E39">
        <w:rPr>
          <w:rFonts w:eastAsia="Calibri"/>
          <w:szCs w:val="24"/>
          <w:lang w:val="en-US" w:eastAsia="en-US"/>
        </w:rPr>
        <w:t>Ask</w:t>
      </w:r>
      <w:r w:rsidRPr="005C3E39">
        <w:rPr>
          <w:rFonts w:eastAsia="Calibri"/>
          <w:szCs w:val="24"/>
          <w:lang w:eastAsia="en-US"/>
        </w:rPr>
        <w:t>) на момент окончания торговой сессии на указанную дату (включая границы интервала);</w:t>
      </w:r>
    </w:p>
    <w:p w14:paraId="0E4B3DD9" w14:textId="77777777" w:rsidR="008C0A68" w:rsidRPr="005C3E39" w:rsidRDefault="008C0A68" w:rsidP="008C0A68">
      <w:pPr>
        <w:contextualSpacing/>
        <w:mirrorIndents/>
        <w:jc w:val="both"/>
        <w:rPr>
          <w:rFonts w:eastAsia="Calibri"/>
          <w:szCs w:val="24"/>
          <w:lang w:eastAsia="en-US"/>
        </w:rPr>
      </w:pPr>
      <w:r w:rsidRPr="005C3E39">
        <w:rPr>
          <w:rFonts w:eastAsia="Calibri"/>
          <w:szCs w:val="24"/>
          <w:lang w:val="en-US" w:eastAsia="en-US"/>
        </w:rPr>
        <w:t>c</w:t>
      </w:r>
      <w:r w:rsidRPr="005C3E39">
        <w:rPr>
          <w:rFonts w:eastAsia="Calibri"/>
          <w:szCs w:val="24"/>
          <w:lang w:eastAsia="en-US"/>
        </w:rPr>
        <w:t>) цена закрытия на момент окончания торговой сессии российской биржи на дату определения</w:t>
      </w:r>
      <w:r w:rsidRPr="005C3E39" w:rsidDel="00F82288">
        <w:rPr>
          <w:rFonts w:eastAsia="Calibri"/>
          <w:szCs w:val="24"/>
          <w:lang w:eastAsia="en-US"/>
        </w:rPr>
        <w:t xml:space="preserve"> </w:t>
      </w:r>
      <w:r w:rsidRPr="005C3E39">
        <w:rPr>
          <w:rFonts w:eastAsia="Calibri"/>
          <w:szCs w:val="24"/>
          <w:lang w:eastAsia="en-US"/>
        </w:rPr>
        <w:t>СЧА при условии подтверждения ее корректности;</w:t>
      </w:r>
    </w:p>
    <w:p w14:paraId="77905BE9" w14:textId="77777777" w:rsidR="008C0A68" w:rsidRPr="005C3E39" w:rsidRDefault="008C0A68" w:rsidP="008C0A68">
      <w:pPr>
        <w:contextualSpacing/>
        <w:mirrorIndents/>
        <w:jc w:val="both"/>
        <w:rPr>
          <w:rFonts w:eastAsia="Calibri"/>
          <w:szCs w:val="24"/>
          <w:lang w:eastAsia="en-US"/>
        </w:rPr>
      </w:pPr>
      <w:r w:rsidRPr="005C3E39">
        <w:rPr>
          <w:rFonts w:eastAsia="Calibri"/>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14:paraId="7822EEAE" w14:textId="77777777" w:rsidR="008C0A68" w:rsidRPr="005C3E39" w:rsidRDefault="008C0A68" w:rsidP="008C0A68">
      <w:pPr>
        <w:contextualSpacing/>
        <w:mirrorIndents/>
        <w:jc w:val="both"/>
        <w:rPr>
          <w:szCs w:val="24"/>
        </w:rPr>
      </w:pPr>
      <w:r w:rsidRPr="005C3E39">
        <w:rPr>
          <w:rFonts w:eastAsia="Calibri"/>
          <w:szCs w:val="24"/>
          <w:lang w:val="en-US" w:eastAsia="en-US"/>
        </w:rPr>
        <w:t>d</w:t>
      </w:r>
      <w:r w:rsidRPr="005C3E39">
        <w:rPr>
          <w:rFonts w:eastAsia="Calibri"/>
          <w:szCs w:val="24"/>
          <w:lang w:eastAsia="en-US"/>
        </w:rPr>
        <w:t>) рыночная цена 2 на момент окончания торговой сессии Московской биржи на дату определения СЧА.</w:t>
      </w:r>
    </w:p>
    <w:p w14:paraId="6F2B7EEC" w14:textId="77777777" w:rsidR="008C0A68" w:rsidRPr="005C3E39" w:rsidRDefault="008C0A68" w:rsidP="008C0A68">
      <w:pPr>
        <w:spacing w:before="120"/>
        <w:contextualSpacing/>
        <w:jc w:val="both"/>
        <w:rPr>
          <w:rFonts w:eastAsia="Calibri"/>
          <w:szCs w:val="24"/>
          <w:lang w:eastAsia="en-US"/>
        </w:rPr>
      </w:pPr>
    </w:p>
    <w:p w14:paraId="72B10B5C" w14:textId="77777777" w:rsidR="008C0A68" w:rsidRPr="005C3E39" w:rsidRDefault="008C0A68" w:rsidP="008C0A68">
      <w:pPr>
        <w:jc w:val="both"/>
        <w:rPr>
          <w:szCs w:val="24"/>
        </w:rPr>
      </w:pPr>
      <w:r w:rsidRPr="005C3E39">
        <w:rPr>
          <w:szCs w:val="24"/>
        </w:rPr>
        <w:t xml:space="preserve">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сделок по количеству ценных бумаг за предыдущие 30 (Тридцать) торговых дней включая дату определения СЧА. </w:t>
      </w:r>
    </w:p>
    <w:p w14:paraId="0D0DAA5B" w14:textId="77777777" w:rsidR="008C0A68" w:rsidRPr="005C3E39" w:rsidRDefault="008C0A68" w:rsidP="008C0A68">
      <w:pPr>
        <w:jc w:val="both"/>
        <w:rPr>
          <w:szCs w:val="24"/>
        </w:rPr>
      </w:pPr>
      <w:r w:rsidRPr="005C3E39">
        <w:rPr>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w:t>
      </w:r>
    </w:p>
    <w:p w14:paraId="604D281E" w14:textId="77777777" w:rsidR="008C0A68" w:rsidRPr="005C3E39" w:rsidRDefault="008C0A68" w:rsidP="008C0A68">
      <w:pPr>
        <w:jc w:val="both"/>
        <w:rPr>
          <w:szCs w:val="24"/>
        </w:rPr>
      </w:pPr>
    </w:p>
    <w:p w14:paraId="0B08F68C" w14:textId="77777777" w:rsidR="008C0A68" w:rsidRPr="005C3E39" w:rsidRDefault="008C0A68" w:rsidP="008C0A68">
      <w:pPr>
        <w:jc w:val="both"/>
        <w:rPr>
          <w:szCs w:val="24"/>
        </w:rPr>
      </w:pPr>
      <w:r w:rsidRPr="005C3E39">
        <w:rPr>
          <w:szCs w:val="24"/>
        </w:rPr>
        <w:t xml:space="preserve">При равенстве объема сделок в разных режимах торгов основным рынком считается торговая площадка с наибольшим количеством сделок за данный период. </w:t>
      </w:r>
    </w:p>
    <w:p w14:paraId="71E6FEB2" w14:textId="77777777" w:rsidR="008C0A68" w:rsidRPr="005C3E39" w:rsidRDefault="008C0A68" w:rsidP="008C0A68">
      <w:pPr>
        <w:jc w:val="both"/>
        <w:rPr>
          <w:szCs w:val="24"/>
        </w:rPr>
      </w:pPr>
    </w:p>
    <w:p w14:paraId="45C5E874" w14:textId="77777777" w:rsidR="008C0A68" w:rsidRPr="005C3E39" w:rsidRDefault="008C0A68" w:rsidP="008C0A68">
      <w:pPr>
        <w:jc w:val="both"/>
        <w:rPr>
          <w:szCs w:val="24"/>
        </w:rPr>
      </w:pPr>
      <w:r w:rsidRPr="005C3E39">
        <w:rPr>
          <w:szCs w:val="24"/>
        </w:rPr>
        <w:t>В случае, если ни одна из цен по выбранному режиму торгов в определенной валюте не может быть использована на дату оценки, то используются цены за ту же дату по режиму торгов в другой валюте с объемом торгов по критерию выбора выше в порядке уменьшения.</w:t>
      </w:r>
    </w:p>
    <w:p w14:paraId="5473724C" w14:textId="77777777" w:rsidR="008C0A68" w:rsidRPr="005C3E39" w:rsidRDefault="008C0A68" w:rsidP="008C0A68">
      <w:pPr>
        <w:jc w:val="both"/>
        <w:rPr>
          <w:b/>
          <w:bCs/>
          <w:i/>
          <w:color w:val="000000"/>
          <w:szCs w:val="24"/>
        </w:rPr>
      </w:pPr>
      <w:r w:rsidRPr="005C3E39">
        <w:rPr>
          <w:b/>
          <w:bCs/>
          <w:i/>
          <w:color w:val="000000"/>
          <w:szCs w:val="24"/>
        </w:rPr>
        <w:t>Справедливая стоимость  облигаций международных или российских компаний с хранением не через НРД, облигаций иностранного эмитента с обязанным лицом в РФ с хранением не через НРД, ГОВОЗ с хранением не через НРД. Цены применяются при наличии фактической возможности распоряжаться ценной бумагой с учетом организованной цепочки (схемы) хранения</w:t>
      </w:r>
    </w:p>
    <w:p w14:paraId="6BF4A460" w14:textId="77777777" w:rsidR="008C0A68" w:rsidRPr="005C3E39" w:rsidRDefault="008C0A68" w:rsidP="008C0A68">
      <w:pPr>
        <w:jc w:val="both"/>
        <w:rPr>
          <w:b/>
          <w:bCs/>
          <w:i/>
          <w:color w:val="000000"/>
          <w:szCs w:val="24"/>
        </w:rPr>
      </w:pPr>
    </w:p>
    <w:p w14:paraId="2352DDC1" w14:textId="77777777" w:rsidR="008C0A68" w:rsidRPr="005C3E39" w:rsidRDefault="008C0A68" w:rsidP="008C0A68">
      <w:pPr>
        <w:contextualSpacing/>
        <w:mirrorIndents/>
        <w:jc w:val="both"/>
        <w:rPr>
          <w:rFonts w:eastAsia="Calibri"/>
          <w:szCs w:val="24"/>
          <w:lang w:eastAsia="en-US"/>
        </w:rPr>
      </w:pPr>
      <w:r w:rsidRPr="005C3E39">
        <w:rPr>
          <w:rFonts w:eastAsia="Calibri"/>
          <w:szCs w:val="24"/>
          <w:lang w:eastAsia="en-US"/>
        </w:rPr>
        <w:t>1) индексная цена, определенная по методике RUDIP по исходным данным, относящимся к 1 или 2 уровню,  раскрываемая  информационно-аналитическим продуктом RuData Price Международной информационной группы «Интерфакс» (</w:t>
      </w:r>
      <w:hyperlink r:id="rId87" w:history="1">
        <w:r w:rsidRPr="005C3E39">
          <w:rPr>
            <w:rFonts w:eastAsia="Calibri"/>
            <w:szCs w:val="24"/>
            <w:lang w:eastAsia="en-US"/>
          </w:rPr>
          <w:t>https://rudata.info/aboutDB/data-price</w:t>
        </w:r>
      </w:hyperlink>
      <w:r w:rsidRPr="005C3E39">
        <w:rPr>
          <w:rFonts w:eastAsia="Calibri"/>
          <w:szCs w:val="24"/>
          <w:lang w:eastAsia="en-US"/>
        </w:rPr>
        <w:t>)</w:t>
      </w:r>
    </w:p>
    <w:p w14:paraId="3D11F7BA" w14:textId="77777777" w:rsidR="008C0A68" w:rsidRPr="005C3E39" w:rsidRDefault="008C0A68" w:rsidP="008C0A68">
      <w:pPr>
        <w:contextualSpacing/>
        <w:mirrorIndents/>
        <w:jc w:val="both"/>
        <w:rPr>
          <w:rFonts w:eastAsia="Calibri"/>
          <w:szCs w:val="24"/>
          <w:lang w:eastAsia="en-US"/>
        </w:rPr>
      </w:pPr>
    </w:p>
    <w:p w14:paraId="75596067" w14:textId="77777777" w:rsidR="008C0A68" w:rsidRPr="005C3E39" w:rsidRDefault="008C0A68" w:rsidP="008C0A68">
      <w:pPr>
        <w:contextualSpacing/>
        <w:mirrorIndents/>
        <w:jc w:val="both"/>
        <w:rPr>
          <w:rFonts w:eastAsia="Calibri"/>
          <w:szCs w:val="24"/>
          <w:lang w:eastAsia="en-US"/>
        </w:rPr>
      </w:pPr>
      <w:r w:rsidRPr="005C3E39">
        <w:rPr>
          <w:rFonts w:eastAsia="Calibri"/>
          <w:szCs w:val="24"/>
          <w:lang w:eastAsia="en-US"/>
        </w:rPr>
        <w:t>2) индикативная цена, определенная по методике «Cbonds Estimation»,  раскрываемая группой компаний Cbonds  (</w:t>
      </w:r>
      <w:hyperlink r:id="rId88" w:history="1">
        <w:r w:rsidRPr="005C3E39">
          <w:rPr>
            <w:rFonts w:eastAsia="Calibri"/>
            <w:szCs w:val="24"/>
            <w:lang w:eastAsia="en-US"/>
          </w:rPr>
          <w:t>https://cbonds.ru/cbonds_estimation/</w:t>
        </w:r>
      </w:hyperlink>
      <w:r w:rsidRPr="005C3E39">
        <w:rPr>
          <w:rFonts w:eastAsia="Calibri"/>
          <w:szCs w:val="24"/>
          <w:lang w:eastAsia="en-US"/>
        </w:rPr>
        <w:t>)</w:t>
      </w:r>
    </w:p>
    <w:p w14:paraId="00D4345A" w14:textId="77777777" w:rsidR="008C0A68" w:rsidRPr="005C3E39" w:rsidRDefault="008C0A68" w:rsidP="008C0A68">
      <w:pPr>
        <w:contextualSpacing/>
        <w:mirrorIndents/>
        <w:jc w:val="both"/>
        <w:rPr>
          <w:rFonts w:eastAsia="Calibri"/>
          <w:szCs w:val="24"/>
          <w:lang w:eastAsia="en-US"/>
        </w:rPr>
      </w:pPr>
    </w:p>
    <w:p w14:paraId="67E90795" w14:textId="77777777" w:rsidR="008C0A68" w:rsidRPr="005C3E39" w:rsidRDefault="008C0A68" w:rsidP="008C0A68">
      <w:pPr>
        <w:contextualSpacing/>
        <w:mirrorIndents/>
        <w:jc w:val="both"/>
        <w:rPr>
          <w:rFonts w:eastAsia="Calibri"/>
          <w:szCs w:val="24"/>
          <w:lang w:eastAsia="en-US"/>
        </w:rPr>
      </w:pPr>
      <w:r w:rsidRPr="005C3E39">
        <w:rPr>
          <w:rFonts w:eastAsia="Calibri"/>
          <w:szCs w:val="24"/>
          <w:lang w:eastAsia="en-US"/>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71D4C362"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             </w:t>
      </w:r>
    </w:p>
    <w:p w14:paraId="0A586D42"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b/>
          <w:i/>
          <w:szCs w:val="24"/>
          <w:lang w:eastAsia="en-US"/>
        </w:rPr>
        <w:t>Справедливая стоимость ценных бумаг, приобретенных в ходе размещения</w:t>
      </w:r>
      <w:r w:rsidRPr="005C3E39">
        <w:rPr>
          <w:rFonts w:eastAsia="Calibri"/>
          <w:szCs w:val="24"/>
          <w:lang w:eastAsia="en-US"/>
        </w:rPr>
        <w:t xml:space="preserve"> принимается равной стоимости их приобретения Управляющей компанией в ходе первоначального размещении. С даты появления цен, позволяющих произвести оценку по данным активного основного рынка,  справедливая стоимость определяется в общем порядке. </w:t>
      </w:r>
      <w:r w:rsidRPr="005C3E39">
        <w:rPr>
          <w:rFonts w:eastAsia="Calibri"/>
          <w:szCs w:val="24"/>
          <w:lang w:eastAsia="en-US"/>
        </w:rPr>
        <w:br/>
        <w:t xml:space="preserve">При условии неактивности рынка в течение 10 рабочих дней </w:t>
      </w:r>
      <w:r>
        <w:rPr>
          <w:rFonts w:eastAsia="Calibri"/>
          <w:szCs w:val="24"/>
          <w:lang w:eastAsia="en-US"/>
        </w:rPr>
        <w:t xml:space="preserve">(с даты  следующей </w:t>
      </w:r>
      <w:r w:rsidRPr="005C3E39">
        <w:rPr>
          <w:rFonts w:eastAsia="Calibri"/>
          <w:szCs w:val="24"/>
          <w:lang w:eastAsia="en-US"/>
        </w:rPr>
        <w:t>с даты размещения</w:t>
      </w:r>
      <w:r>
        <w:rPr>
          <w:rFonts w:eastAsia="Calibri"/>
          <w:szCs w:val="24"/>
          <w:lang w:eastAsia="en-US"/>
        </w:rPr>
        <w:t>)</w:t>
      </w:r>
      <w:r w:rsidRPr="005C3E39">
        <w:rPr>
          <w:rFonts w:eastAsia="Calibri"/>
          <w:szCs w:val="24"/>
          <w:lang w:eastAsia="en-US"/>
        </w:rPr>
        <w:t xml:space="preserve"> может применяться цена приобретения, скорректированная пропорционально на изменение ключевой ставки Банка России</w:t>
      </w:r>
      <w:r w:rsidRPr="005C3E39">
        <w:t xml:space="preserve"> </w:t>
      </w:r>
      <w:r w:rsidRPr="005C3E39">
        <w:rPr>
          <w:rFonts w:eastAsia="Calibri"/>
          <w:szCs w:val="24"/>
          <w:lang w:eastAsia="en-US"/>
        </w:rPr>
        <w:t>для облигаций, номинированных в рублях, или изменения ставки ФРС США для облигаций, номинированных в долларах США, или изменения ставки ЕЦБ для облигаций, номинированных в евро, за этот период. </w:t>
      </w:r>
      <w:r w:rsidRPr="005C3E39">
        <w:rPr>
          <w:rFonts w:eastAsia="Calibri"/>
          <w:szCs w:val="24"/>
          <w:lang w:eastAsia="en-US"/>
        </w:rPr>
        <w:br/>
        <w:t>Начиная с 11 дня справедливая стоимость определяется в общем порядке.</w:t>
      </w:r>
    </w:p>
    <w:p w14:paraId="7D642AC1" w14:textId="77777777" w:rsidR="008C0A68" w:rsidRPr="009052E7" w:rsidRDefault="008C0A68" w:rsidP="008C0A68">
      <w:pPr>
        <w:pStyle w:val="2"/>
        <w:rPr>
          <w:rFonts w:eastAsia="Calibri"/>
          <w:sz w:val="28"/>
          <w:szCs w:val="28"/>
          <w:lang w:eastAsia="en-US"/>
        </w:rPr>
      </w:pPr>
      <w:r w:rsidRPr="009052E7">
        <w:rPr>
          <w:rFonts w:eastAsia="Calibri"/>
          <w:sz w:val="28"/>
          <w:szCs w:val="28"/>
          <w:lang w:eastAsia="en-US"/>
        </w:rPr>
        <w:t>УРОВЕНЬ 3</w:t>
      </w:r>
    </w:p>
    <w:p w14:paraId="06C92DA5" w14:textId="77777777" w:rsidR="008C0A68" w:rsidRPr="005C3E39" w:rsidRDefault="008C0A68" w:rsidP="008C0A68">
      <w:pPr>
        <w:rPr>
          <w:rFonts w:eastAsia="Calibri"/>
          <w:lang w:eastAsia="en-US"/>
        </w:rPr>
      </w:pPr>
    </w:p>
    <w:p w14:paraId="6EE8CC69" w14:textId="77777777" w:rsidR="008C0A68" w:rsidRPr="005C3E39" w:rsidRDefault="008C0A68" w:rsidP="008C0A68">
      <w:pPr>
        <w:jc w:val="both"/>
        <w:rPr>
          <w:b/>
          <w:bCs/>
          <w:i/>
          <w:color w:val="000000"/>
          <w:szCs w:val="24"/>
        </w:rPr>
      </w:pPr>
      <w:r w:rsidRPr="005C3E39">
        <w:rPr>
          <w:b/>
          <w:bCs/>
          <w:i/>
          <w:color w:val="000000"/>
          <w:szCs w:val="24"/>
        </w:rPr>
        <w:t>Справедливая стоимость облигаций международных или российских компаний с хранением через НРД, облигаций иностранного эмитента с обязанным лицом в РФ с хранением через НРД, ГОВОЗ с хранением через НРД. Применимо для ценных бумаг с фактической возможностью распоряжения.</w:t>
      </w:r>
    </w:p>
    <w:p w14:paraId="73F6BE32" w14:textId="77777777" w:rsidR="008C0A68" w:rsidRPr="005C3E39" w:rsidRDefault="008C0A68" w:rsidP="008C0A68">
      <w:pPr>
        <w:jc w:val="both"/>
        <w:rPr>
          <w:b/>
          <w:i/>
          <w:szCs w:val="24"/>
        </w:rPr>
      </w:pPr>
      <w:r w:rsidRPr="005C3E39">
        <w:rPr>
          <w:b/>
          <w:bCs/>
          <w:i/>
          <w:color w:val="000000"/>
          <w:szCs w:val="24"/>
        </w:rPr>
        <w:t>Приоритетность цен с учетом наличия доступа к указанным ценам, а также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w:t>
      </w:r>
    </w:p>
    <w:p w14:paraId="5BEB6D49" w14:textId="77777777" w:rsidR="008C0A68" w:rsidRPr="005C3E39" w:rsidRDefault="008C0A68" w:rsidP="008C0A68">
      <w:pPr>
        <w:spacing w:before="120"/>
        <w:contextualSpacing/>
        <w:jc w:val="both"/>
        <w:rPr>
          <w:rFonts w:eastAsia="Calibri"/>
          <w:szCs w:val="24"/>
          <w:lang w:eastAsia="en-US"/>
        </w:rPr>
      </w:pPr>
    </w:p>
    <w:p w14:paraId="71CC83BA" w14:textId="77777777" w:rsidR="008C0A68" w:rsidRPr="005C3E39" w:rsidRDefault="008C0A68" w:rsidP="008C0A68">
      <w:pPr>
        <w:rPr>
          <w:b/>
          <w:i/>
          <w:szCs w:val="24"/>
        </w:rPr>
      </w:pPr>
    </w:p>
    <w:p w14:paraId="4DE65A39" w14:textId="77777777" w:rsidR="008C0A68" w:rsidRPr="005C3E39" w:rsidRDefault="008C0A68" w:rsidP="004872F3">
      <w:pPr>
        <w:pStyle w:val="a7"/>
        <w:numPr>
          <w:ilvl w:val="0"/>
          <w:numId w:val="26"/>
        </w:numPr>
        <w:jc w:val="both"/>
        <w:rPr>
          <w:szCs w:val="24"/>
        </w:rPr>
      </w:pPr>
      <w:r w:rsidRPr="005C3E39">
        <w:rPr>
          <w:szCs w:val="24"/>
        </w:rPr>
        <w:t xml:space="preserve"> </w:t>
      </w:r>
      <w:r w:rsidRPr="005C3E39">
        <w:rPr>
          <w:rFonts w:ascii="Times New Roman" w:hAnsi="Times New Roman"/>
          <w:sz w:val="24"/>
          <w:szCs w:val="24"/>
        </w:rPr>
        <w:t>цена, рассчитанная Ценовым Центром НКО АО НРД по методологиям определения справедливой стоимости, утвержденным 01.12.2017г и позднее, рассчитанная по  методам оценки, основанных на  исходных данных 3-го уровня иерархии  в соответствии с МСФО13 (метод индексного дисконтированного денежного потока и иными методами, основанных на  исходных данных 3-го уровня иерархии  в соответствии с МСФО13)</w:t>
      </w:r>
    </w:p>
    <w:p w14:paraId="19202D07" w14:textId="324B4D73" w:rsidR="008C0A68" w:rsidRDefault="008C0A68" w:rsidP="004872F3">
      <w:pPr>
        <w:pStyle w:val="a7"/>
        <w:numPr>
          <w:ilvl w:val="0"/>
          <w:numId w:val="26"/>
        </w:numPr>
        <w:spacing w:after="0" w:line="240" w:lineRule="auto"/>
        <w:mirrorIndents/>
        <w:jc w:val="both"/>
        <w:rPr>
          <w:rFonts w:ascii="Times New Roman" w:hAnsi="Times New Roman"/>
          <w:sz w:val="24"/>
          <w:szCs w:val="24"/>
          <w:lang w:eastAsia="nl-BE"/>
        </w:rPr>
      </w:pPr>
      <w:r w:rsidRPr="005C3E39">
        <w:rPr>
          <w:rFonts w:ascii="Times New Roman" w:hAnsi="Times New Roman"/>
          <w:sz w:val="24"/>
          <w:szCs w:val="24"/>
        </w:rPr>
        <w:t xml:space="preserve">цена </w:t>
      </w:r>
      <w:r w:rsidRPr="005C3E39">
        <w:rPr>
          <w:rFonts w:ascii="Times New Roman" w:hAnsi="Times New Roman"/>
          <w:sz w:val="24"/>
          <w:szCs w:val="24"/>
          <w:lang w:val="en-US"/>
        </w:rPr>
        <w:t>Bid</w:t>
      </w:r>
      <w:r w:rsidRPr="005C3E39">
        <w:rPr>
          <w:rFonts w:ascii="Times New Roman" w:hAnsi="Times New Roman"/>
          <w:sz w:val="24"/>
          <w:szCs w:val="24"/>
        </w:rPr>
        <w:t>,</w:t>
      </w:r>
      <w:r w:rsidRPr="005C3E39">
        <w:rPr>
          <w:rFonts w:ascii="Times New Roman" w:hAnsi="Times New Roman"/>
          <w:sz w:val="24"/>
          <w:szCs w:val="24"/>
          <w:lang w:eastAsia="nl-BE"/>
        </w:rPr>
        <w:t xml:space="preserve"> определенная по методике «Cbonds Estimation Onshore», раскрываемая группой компаний Cbonds </w:t>
      </w:r>
      <w:r w:rsidRPr="005C3E39">
        <w:rPr>
          <w:rFonts w:ascii="Times New Roman" w:hAnsi="Times New Roman"/>
          <w:sz w:val="24"/>
          <w:szCs w:val="24"/>
        </w:rPr>
        <w:t>(</w:t>
      </w:r>
      <w:hyperlink r:id="rId89" w:history="1">
        <w:r w:rsidRPr="005C3E39">
          <w:rPr>
            <w:rStyle w:val="a9"/>
            <w:rFonts w:ascii="Times New Roman" w:hAnsi="Times New Roman"/>
            <w:sz w:val="24"/>
            <w:szCs w:val="24"/>
          </w:rPr>
          <w:t>https://cbonds.ru/company/Cbonds_Estimation_Onshore</w:t>
        </w:r>
      </w:hyperlink>
      <w:r w:rsidRPr="005C3E39">
        <w:rPr>
          <w:rFonts w:ascii="Times New Roman" w:hAnsi="Times New Roman"/>
          <w:sz w:val="24"/>
          <w:szCs w:val="24"/>
        </w:rPr>
        <w:t>)</w:t>
      </w:r>
    </w:p>
    <w:p w14:paraId="0DE70148" w14:textId="042F2C7C" w:rsidR="00A45E5F" w:rsidRDefault="00A45E5F" w:rsidP="00A45E5F">
      <w:pPr>
        <w:mirrorIndents/>
        <w:jc w:val="both"/>
        <w:rPr>
          <w:szCs w:val="24"/>
          <w:lang w:eastAsia="nl-BE"/>
        </w:rPr>
      </w:pPr>
    </w:p>
    <w:p w14:paraId="09326BAF" w14:textId="4B5086E0" w:rsidR="006C7A27" w:rsidRPr="00DC493A" w:rsidRDefault="006C7A27" w:rsidP="00F60381">
      <w:pPr>
        <w:pStyle w:val="a7"/>
        <w:spacing w:after="0" w:line="240" w:lineRule="auto"/>
        <w:ind w:left="0"/>
        <w:mirrorIndents/>
        <w:jc w:val="both"/>
        <w:rPr>
          <w:rFonts w:ascii="Times New Roman" w:hAnsi="Times New Roman"/>
          <w:sz w:val="24"/>
          <w:szCs w:val="24"/>
          <w:lang w:eastAsia="nl-BE"/>
        </w:rPr>
      </w:pPr>
      <w:r>
        <w:rPr>
          <w:rFonts w:ascii="Times New Roman" w:hAnsi="Times New Roman"/>
          <w:sz w:val="24"/>
          <w:szCs w:val="24"/>
          <w:lang w:eastAsia="nl-BE"/>
        </w:rPr>
        <w:t xml:space="preserve">   -  </w:t>
      </w:r>
      <w:r w:rsidRPr="00DC493A">
        <w:rPr>
          <w:rFonts w:ascii="Times New Roman" w:hAnsi="Times New Roman"/>
          <w:sz w:val="24"/>
          <w:szCs w:val="24"/>
          <w:lang w:eastAsia="nl-BE"/>
        </w:rPr>
        <w:t>расчетная цена, публикуемая НКО НКЦ (АО), и применяемая клиринговой организацией при осуществлении клиринга с участием центрального контрагента для определения размера обеспечения исполнения обязательств по данной ценной бумаге.</w:t>
      </w:r>
      <w:r>
        <w:rPr>
          <w:rFonts w:ascii="Times New Roman" w:hAnsi="Times New Roman"/>
          <w:sz w:val="24"/>
          <w:szCs w:val="24"/>
          <w:lang w:eastAsia="nl-BE"/>
        </w:rPr>
        <w:t>(</w:t>
      </w:r>
      <w:r w:rsidRPr="006C7A27">
        <w:t xml:space="preserve"> </w:t>
      </w:r>
      <w:r w:rsidRPr="006C7A27">
        <w:rPr>
          <w:rFonts w:ascii="Times New Roman" w:hAnsi="Times New Roman"/>
          <w:sz w:val="24"/>
          <w:szCs w:val="24"/>
          <w:lang w:eastAsia="nl-BE"/>
        </w:rPr>
        <w:t>https://www.nationalclearingcentre.ru/rates/fondMarketRates?pageNumber=1&amp;filterGroup</w:t>
      </w:r>
      <w:r>
        <w:rPr>
          <w:rFonts w:ascii="Times New Roman" w:hAnsi="Times New Roman"/>
          <w:sz w:val="24"/>
          <w:szCs w:val="24"/>
          <w:lang w:eastAsia="nl-BE"/>
        </w:rPr>
        <w:t>)</w:t>
      </w:r>
    </w:p>
    <w:p w14:paraId="20CA3A7C" w14:textId="77777777" w:rsidR="006C7A27" w:rsidRPr="00A45E5F" w:rsidRDefault="006C7A27" w:rsidP="00F60381">
      <w:pPr>
        <w:mirrorIndents/>
        <w:jc w:val="both"/>
        <w:rPr>
          <w:szCs w:val="24"/>
          <w:lang w:eastAsia="nl-BE"/>
        </w:rPr>
      </w:pPr>
    </w:p>
    <w:p w14:paraId="257EDC7E" w14:textId="4653FE38" w:rsidR="00E41AB9" w:rsidRPr="00F60381" w:rsidRDefault="00E41AB9" w:rsidP="00F60381">
      <w:pPr>
        <w:pStyle w:val="a7"/>
        <w:numPr>
          <w:ilvl w:val="0"/>
          <w:numId w:val="26"/>
        </w:numPr>
        <w:jc w:val="both"/>
        <w:rPr>
          <w:rFonts w:ascii="Times New Roman" w:hAnsi="Times New Roman"/>
          <w:sz w:val="24"/>
          <w:szCs w:val="24"/>
        </w:rPr>
      </w:pPr>
      <w:r w:rsidRPr="00F60381">
        <w:rPr>
          <w:rFonts w:ascii="Times New Roman" w:hAnsi="Times New Roman"/>
          <w:sz w:val="24"/>
          <w:szCs w:val="24"/>
        </w:rPr>
        <w:lastRenderedPageBreak/>
        <w:t xml:space="preserve">  - </w:t>
      </w:r>
      <w:r w:rsidRPr="00E41AB9">
        <w:rPr>
          <w:rFonts w:ascii="Times New Roman" w:hAnsi="Times New Roman"/>
          <w:sz w:val="24"/>
          <w:szCs w:val="24"/>
        </w:rPr>
        <w:t xml:space="preserve">Цена, определенная методом дисконтирования стоимости будущих потоков по ставкам кривой безрисковых доходностей, скорректированных на кредитный спред: </w:t>
      </w:r>
    </w:p>
    <w:p w14:paraId="0EDD957C" w14:textId="77777777" w:rsidR="00E41AB9" w:rsidRPr="00F60381" w:rsidRDefault="00E41AB9" w:rsidP="00F60381">
      <w:pPr>
        <w:pStyle w:val="a7"/>
        <w:numPr>
          <w:ilvl w:val="0"/>
          <w:numId w:val="26"/>
        </w:numPr>
        <w:jc w:val="both"/>
        <w:rPr>
          <w:szCs w:val="24"/>
        </w:rPr>
      </w:pPr>
      <w:r w:rsidRPr="00F60381">
        <w:rPr>
          <w:rFonts w:ascii="Times New Roman" w:hAnsi="Times New Roman"/>
          <w:sz w:val="24"/>
          <w:szCs w:val="24"/>
        </w:rPr>
        <w:object w:dxaOrig="2900" w:dyaOrig="700" w14:anchorId="206388AB">
          <v:shape id="_x0000_i1074" type="#_x0000_t75" style="width:145.15pt;height:33.4pt" o:ole="">
            <v:imagedata r:id="rId90" o:title=""/>
          </v:shape>
          <o:OLEObject Type="Embed" ProgID="Equation.3" ShapeID="_x0000_i1074" DrawAspect="Content" ObjectID="_1849960618" r:id="rId91"/>
        </w:object>
      </w:r>
    </w:p>
    <w:p w14:paraId="65BC6300" w14:textId="77777777" w:rsidR="00E41AB9" w:rsidRPr="0063792A" w:rsidRDefault="00E41AB9" w:rsidP="00F60381">
      <w:pPr>
        <w:pStyle w:val="a7"/>
        <w:numPr>
          <w:ilvl w:val="0"/>
          <w:numId w:val="26"/>
        </w:numPr>
        <w:jc w:val="both"/>
        <w:rPr>
          <w:szCs w:val="24"/>
        </w:rPr>
      </w:pPr>
      <w:r w:rsidRPr="00F60381">
        <w:rPr>
          <w:rFonts w:ascii="Times New Roman" w:hAnsi="Times New Roman"/>
          <w:sz w:val="24"/>
          <w:szCs w:val="24"/>
        </w:rPr>
        <w:t>Pt0</w:t>
      </w:r>
      <w:r w:rsidRPr="00F60381">
        <w:rPr>
          <w:rFonts w:ascii="Times New Roman" w:hAnsi="Times New Roman"/>
          <w:sz w:val="24"/>
          <w:szCs w:val="24"/>
        </w:rPr>
        <w:tab/>
        <w:t xml:space="preserve"> – справедливая стоимость облигации (включая НКД);</w:t>
      </w:r>
    </w:p>
    <w:p w14:paraId="072EF69B" w14:textId="77777777" w:rsidR="00E41AB9" w:rsidRPr="0063792A" w:rsidRDefault="00E41AB9" w:rsidP="00F60381">
      <w:pPr>
        <w:pStyle w:val="a7"/>
        <w:numPr>
          <w:ilvl w:val="0"/>
          <w:numId w:val="26"/>
        </w:numPr>
        <w:jc w:val="both"/>
        <w:rPr>
          <w:szCs w:val="24"/>
        </w:rPr>
      </w:pPr>
      <w:r w:rsidRPr="00F60381">
        <w:rPr>
          <w:rFonts w:ascii="Times New Roman" w:hAnsi="Times New Roman"/>
          <w:sz w:val="24"/>
          <w:szCs w:val="24"/>
        </w:rPr>
        <w:t>i – порядковый номер денежного потока;</w:t>
      </w:r>
    </w:p>
    <w:p w14:paraId="2FB75899" w14:textId="77777777" w:rsidR="00E41AB9" w:rsidRPr="0063792A" w:rsidRDefault="00E41AB9" w:rsidP="00F60381">
      <w:pPr>
        <w:pStyle w:val="a7"/>
        <w:numPr>
          <w:ilvl w:val="0"/>
          <w:numId w:val="26"/>
        </w:numPr>
        <w:jc w:val="both"/>
        <w:rPr>
          <w:szCs w:val="24"/>
        </w:rPr>
      </w:pPr>
      <w:r w:rsidRPr="00F60381">
        <w:rPr>
          <w:rFonts w:ascii="Times New Roman" w:hAnsi="Times New Roman"/>
          <w:sz w:val="24"/>
          <w:szCs w:val="24"/>
        </w:rPr>
        <w:t>CFi – i-ый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прогнозов общедоступных будущих значениях переменного параметра (МЭР, консенсус прогноз аналитиков или другие доступные прогнозы).</w:t>
      </w:r>
    </w:p>
    <w:p w14:paraId="27CEB994" w14:textId="77777777" w:rsidR="00E41AB9" w:rsidRPr="0063792A" w:rsidRDefault="00E41AB9" w:rsidP="00F60381">
      <w:pPr>
        <w:pStyle w:val="a7"/>
        <w:numPr>
          <w:ilvl w:val="0"/>
          <w:numId w:val="26"/>
        </w:numPr>
        <w:jc w:val="both"/>
        <w:rPr>
          <w:szCs w:val="24"/>
        </w:rPr>
      </w:pPr>
      <w:r w:rsidRPr="00F60381">
        <w:rPr>
          <w:rFonts w:ascii="Times New Roman" w:hAnsi="Times New Roman"/>
          <w:sz w:val="24"/>
          <w:szCs w:val="24"/>
        </w:rPr>
        <w:t>ri– ставка кривой бескупонной доходности рынка ОФЗ (G-кривая), соответствующая дате выплаты i-го денежного потока, публикуемая Банком России и Московской Биржей;</w:t>
      </w:r>
    </w:p>
    <w:p w14:paraId="40B22DFE" w14:textId="77777777" w:rsidR="00E41AB9" w:rsidRPr="0063792A" w:rsidRDefault="00E41AB9" w:rsidP="00F60381">
      <w:pPr>
        <w:pStyle w:val="a7"/>
        <w:numPr>
          <w:ilvl w:val="0"/>
          <w:numId w:val="26"/>
        </w:numPr>
        <w:jc w:val="both"/>
        <w:rPr>
          <w:szCs w:val="24"/>
        </w:rPr>
      </w:pPr>
      <w:r w:rsidRPr="00F60381">
        <w:rPr>
          <w:rFonts w:ascii="Times New Roman" w:hAnsi="Times New Roman"/>
          <w:sz w:val="24"/>
          <w:szCs w:val="24"/>
        </w:rPr>
        <w:t>CrSpread – кредитный спред облигационного индекса (расчет приведен ниже);</w:t>
      </w:r>
    </w:p>
    <w:p w14:paraId="0E9B5134" w14:textId="77777777" w:rsidR="00E41AB9" w:rsidRPr="0063792A" w:rsidRDefault="00E41AB9" w:rsidP="00F60381">
      <w:pPr>
        <w:pStyle w:val="a7"/>
        <w:numPr>
          <w:ilvl w:val="0"/>
          <w:numId w:val="26"/>
        </w:numPr>
        <w:jc w:val="both"/>
        <w:rPr>
          <w:szCs w:val="24"/>
        </w:rPr>
      </w:pPr>
      <w:r w:rsidRPr="00F60381">
        <w:rPr>
          <w:rFonts w:ascii="Times New Roman" w:hAnsi="Times New Roman"/>
          <w:sz w:val="24"/>
          <w:szCs w:val="24"/>
        </w:rPr>
        <w:t>ti</w:t>
      </w:r>
      <w:r w:rsidRPr="00F60381">
        <w:rPr>
          <w:rFonts w:ascii="Times New Roman" w:hAnsi="Times New Roman"/>
          <w:sz w:val="24"/>
          <w:szCs w:val="24"/>
        </w:rPr>
        <w:noBreakHyphen/>
        <w:t xml:space="preserve"> – срок до выплаты i-го денежного потока в годах (в качестве базы расчета используется 365 дней)</w:t>
      </w:r>
    </w:p>
    <w:p w14:paraId="7786E8E4" w14:textId="77777777" w:rsidR="00E41AB9" w:rsidRPr="005C3E39" w:rsidRDefault="00E41AB9" w:rsidP="00E41AB9">
      <w:pPr>
        <w:ind w:firstLine="426"/>
        <w:jc w:val="both"/>
        <w:rPr>
          <w:szCs w:val="24"/>
        </w:rPr>
      </w:pPr>
      <w:r w:rsidRPr="005C3E39">
        <w:rPr>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14:paraId="0DA16B17" w14:textId="77777777" w:rsidR="00E41AB9" w:rsidRPr="005C3E39" w:rsidRDefault="00E41AB9" w:rsidP="00E41AB9">
      <w:pPr>
        <w:spacing w:after="120"/>
        <w:ind w:firstLine="426"/>
        <w:jc w:val="both"/>
        <w:rPr>
          <w:szCs w:val="24"/>
        </w:rPr>
      </w:pPr>
      <w:r w:rsidRPr="005C3E39">
        <w:rPr>
          <w:szCs w:val="24"/>
        </w:rPr>
        <w:t>Для целей расчета медианного кредитного спреда (</w:t>
      </w:r>
      <m:oMath>
        <m:r>
          <w:rPr>
            <w:rFonts w:ascii="Cambria Math" w:hAnsi="Cambria Math"/>
            <w:szCs w:val="24"/>
          </w:rPr>
          <m:t>CrSpread</m:t>
        </m:r>
      </m:oMath>
      <w:r w:rsidRPr="005C3E39">
        <w:rPr>
          <w:szCs w:val="24"/>
        </w:rPr>
        <w:t xml:space="preserve">) в зависимости от кредитного рейтинга у выпуска долговой ценной бумаги, а в случае его отсутствия - рейтинга эмитента, а в случае и его отсутствия рейтинг поручителя (гаранта), конечного заемщика долговой ценной бумаги, долговая ценная бумага может быть отнесена к одной из четырех рейтинговых групп. </w:t>
      </w:r>
      <w:r w:rsidRPr="005C3E39">
        <w:rPr>
          <w:rFonts w:eastAsia="Calibri"/>
          <w:szCs w:val="24"/>
        </w:rPr>
        <w:t xml:space="preserve">Долговые инструменты, выпущенные Министерством финансов Российской Федерации, относятся к рейтинговой группе </w:t>
      </w:r>
      <w:r w:rsidRPr="005C3E39">
        <w:rPr>
          <w:rFonts w:eastAsia="Calibri"/>
          <w:szCs w:val="24"/>
          <w:lang w:val="en-US"/>
        </w:rPr>
        <w:t>I</w:t>
      </w:r>
    </w:p>
    <w:p w14:paraId="0496195E" w14:textId="77777777" w:rsidR="00E41AB9" w:rsidRPr="005C3E39" w:rsidRDefault="00E41AB9" w:rsidP="00E41AB9">
      <w:pPr>
        <w:spacing w:after="200" w:line="312" w:lineRule="auto"/>
        <w:jc w:val="both"/>
        <w:rPr>
          <w:rFonts w:eastAsia="Calibri"/>
          <w:szCs w:val="24"/>
        </w:rPr>
      </w:pPr>
      <w:r w:rsidRPr="005C3E39">
        <w:rPr>
          <w:szCs w:val="24"/>
        </w:rPr>
        <w:t xml:space="preserve">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конечного заемщика. </w:t>
      </w:r>
    </w:p>
    <w:p w14:paraId="0D57CD9E" w14:textId="77777777" w:rsidR="00E41AB9" w:rsidRPr="005C3E39" w:rsidRDefault="00E41AB9" w:rsidP="00E41AB9">
      <w:pPr>
        <w:spacing w:line="312" w:lineRule="auto"/>
        <w:jc w:val="both"/>
        <w:rPr>
          <w:rFonts w:eastAsia="Calibri"/>
          <w:szCs w:val="24"/>
        </w:rPr>
      </w:pPr>
      <w:r w:rsidRPr="005C3E39">
        <w:rPr>
          <w:rFonts w:eastAsia="Calibri"/>
          <w:szCs w:val="24"/>
        </w:rPr>
        <w:t>В отсутствии рейтинга выпуска и эмитента, присвоенного хотя бы одним рейтинговым агентством, при наличии рейтинга поручителя / заемщика по выпуску  ценной бумаги используется наибольший из актуальных кредитных рейтингов поручителя / заемщика по выпуску, присвоенных различными рейтинговыми агентствами.</w:t>
      </w:r>
    </w:p>
    <w:p w14:paraId="201E9352" w14:textId="77777777" w:rsidR="00E41AB9" w:rsidRPr="005C3E39" w:rsidRDefault="00E41AB9" w:rsidP="00E41AB9">
      <w:pPr>
        <w:spacing w:after="120"/>
        <w:ind w:firstLine="426"/>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1941"/>
        <w:gridCol w:w="1912"/>
        <w:gridCol w:w="1916"/>
        <w:gridCol w:w="1981"/>
      </w:tblGrid>
      <w:tr w:rsidR="00E41AB9" w:rsidRPr="005C3E39" w14:paraId="59D20F26" w14:textId="77777777" w:rsidTr="00E41AB9">
        <w:tc>
          <w:tcPr>
            <w:tcW w:w="8109" w:type="dxa"/>
            <w:gridSpan w:val="4"/>
            <w:vAlign w:val="center"/>
          </w:tcPr>
          <w:p w14:paraId="500676D9" w14:textId="77777777" w:rsidR="00E41AB9" w:rsidRPr="005C3E39" w:rsidRDefault="00E41AB9" w:rsidP="00E41AB9">
            <w:pPr>
              <w:spacing w:line="312" w:lineRule="auto"/>
              <w:jc w:val="center"/>
              <w:rPr>
                <w:rFonts w:eastAsia="Calibri"/>
                <w:b/>
              </w:rPr>
            </w:pPr>
            <w:r w:rsidRPr="005C3E39">
              <w:rPr>
                <w:rFonts w:eastAsia="Calibri"/>
                <w:b/>
              </w:rPr>
              <w:t>Национальная шкала для Российской Федерации</w:t>
            </w:r>
          </w:p>
        </w:tc>
        <w:tc>
          <w:tcPr>
            <w:tcW w:w="2028" w:type="dxa"/>
            <w:vMerge w:val="restart"/>
            <w:vAlign w:val="center"/>
          </w:tcPr>
          <w:p w14:paraId="230A364E" w14:textId="77777777" w:rsidR="00E41AB9" w:rsidRPr="005C3E39" w:rsidRDefault="00E41AB9" w:rsidP="00E41AB9">
            <w:pPr>
              <w:spacing w:line="312" w:lineRule="auto"/>
              <w:jc w:val="both"/>
              <w:rPr>
                <w:rFonts w:eastAsia="Calibri"/>
                <w:b/>
              </w:rPr>
            </w:pPr>
            <w:r w:rsidRPr="005C3E39">
              <w:rPr>
                <w:rFonts w:eastAsia="Calibri"/>
                <w:b/>
              </w:rPr>
              <w:t>Рейтинговая группа</w:t>
            </w:r>
          </w:p>
        </w:tc>
      </w:tr>
      <w:tr w:rsidR="00E41AB9" w:rsidRPr="005C3E39" w14:paraId="34D8A4D5" w14:textId="77777777" w:rsidTr="00E41AB9">
        <w:tc>
          <w:tcPr>
            <w:tcW w:w="2027" w:type="dxa"/>
            <w:vAlign w:val="center"/>
          </w:tcPr>
          <w:p w14:paraId="6A9C0336" w14:textId="77777777" w:rsidR="00E41AB9" w:rsidRPr="005C3E39" w:rsidRDefault="00E41AB9" w:rsidP="00E41AB9">
            <w:pPr>
              <w:spacing w:line="312" w:lineRule="auto"/>
              <w:jc w:val="center"/>
              <w:rPr>
                <w:rFonts w:eastAsia="Calibri"/>
                <w:b/>
              </w:rPr>
            </w:pPr>
            <w:r w:rsidRPr="005C3E39">
              <w:rPr>
                <w:rFonts w:eastAsia="Calibri"/>
                <w:b/>
              </w:rPr>
              <w:lastRenderedPageBreak/>
              <w:t>АКРА (АО)</w:t>
            </w:r>
          </w:p>
        </w:tc>
        <w:tc>
          <w:tcPr>
            <w:tcW w:w="2027" w:type="dxa"/>
            <w:vAlign w:val="center"/>
          </w:tcPr>
          <w:p w14:paraId="7E3429B9" w14:textId="77777777" w:rsidR="00E41AB9" w:rsidRPr="005C3E39" w:rsidRDefault="00E41AB9" w:rsidP="00E41AB9">
            <w:pPr>
              <w:spacing w:line="312" w:lineRule="auto"/>
              <w:jc w:val="center"/>
              <w:rPr>
                <w:rFonts w:eastAsia="Calibri"/>
                <w:b/>
              </w:rPr>
            </w:pPr>
            <w:r w:rsidRPr="005C3E39">
              <w:rPr>
                <w:rFonts w:eastAsia="Calibri"/>
                <w:b/>
              </w:rPr>
              <w:t>АО "Эксперт РА"</w:t>
            </w:r>
          </w:p>
        </w:tc>
        <w:tc>
          <w:tcPr>
            <w:tcW w:w="2027" w:type="dxa"/>
            <w:vAlign w:val="center"/>
          </w:tcPr>
          <w:p w14:paraId="323188C2" w14:textId="77777777" w:rsidR="00E41AB9" w:rsidRPr="005C3E39" w:rsidRDefault="00E41AB9" w:rsidP="00E41AB9">
            <w:pPr>
              <w:spacing w:line="312" w:lineRule="auto"/>
              <w:jc w:val="center"/>
              <w:rPr>
                <w:rFonts w:eastAsia="Calibri"/>
                <w:b/>
              </w:rPr>
            </w:pPr>
            <w:r w:rsidRPr="005C3E39">
              <w:rPr>
                <w:rFonts w:eastAsia="Calibri"/>
                <w:b/>
              </w:rPr>
              <w:t>ООО "НКР"</w:t>
            </w:r>
          </w:p>
        </w:tc>
        <w:tc>
          <w:tcPr>
            <w:tcW w:w="2028" w:type="dxa"/>
            <w:vAlign w:val="center"/>
          </w:tcPr>
          <w:p w14:paraId="31583958" w14:textId="77777777" w:rsidR="00E41AB9" w:rsidRPr="005C3E39" w:rsidRDefault="00E41AB9" w:rsidP="00E41AB9">
            <w:pPr>
              <w:spacing w:line="312" w:lineRule="auto"/>
              <w:jc w:val="center"/>
              <w:rPr>
                <w:rFonts w:eastAsia="Calibri"/>
                <w:b/>
              </w:rPr>
            </w:pPr>
            <w:r w:rsidRPr="005C3E39">
              <w:rPr>
                <w:rFonts w:eastAsia="Calibri"/>
                <w:b/>
              </w:rPr>
              <w:t>ООО "НРА"</w:t>
            </w:r>
          </w:p>
        </w:tc>
        <w:tc>
          <w:tcPr>
            <w:tcW w:w="2028" w:type="dxa"/>
            <w:vMerge/>
            <w:vAlign w:val="center"/>
          </w:tcPr>
          <w:p w14:paraId="209CA7A8" w14:textId="77777777" w:rsidR="00E41AB9" w:rsidRPr="005C3E39" w:rsidRDefault="00E41AB9" w:rsidP="00E41AB9">
            <w:pPr>
              <w:spacing w:line="312" w:lineRule="auto"/>
              <w:jc w:val="center"/>
              <w:rPr>
                <w:rFonts w:eastAsia="Calibri"/>
                <w:b/>
              </w:rPr>
            </w:pPr>
          </w:p>
        </w:tc>
      </w:tr>
      <w:tr w:rsidR="00E41AB9" w:rsidRPr="005C3E39" w14:paraId="4BD7961C" w14:textId="77777777" w:rsidTr="00E41AB9">
        <w:tc>
          <w:tcPr>
            <w:tcW w:w="2027" w:type="dxa"/>
            <w:vAlign w:val="center"/>
          </w:tcPr>
          <w:p w14:paraId="7638602F" w14:textId="77777777" w:rsidR="00E41AB9" w:rsidRPr="005C3E39" w:rsidRDefault="00E41AB9" w:rsidP="00E41AB9">
            <w:pPr>
              <w:spacing w:line="312" w:lineRule="auto"/>
              <w:rPr>
                <w:rFonts w:eastAsia="Calibri"/>
                <w:sz w:val="20"/>
              </w:rPr>
            </w:pPr>
            <w:r w:rsidRPr="005C3E39">
              <w:rPr>
                <w:rFonts w:eastAsia="Calibri"/>
                <w:sz w:val="20"/>
              </w:rPr>
              <w:t>AAA (RU)</w:t>
            </w:r>
          </w:p>
        </w:tc>
        <w:tc>
          <w:tcPr>
            <w:tcW w:w="2027" w:type="dxa"/>
            <w:vAlign w:val="center"/>
          </w:tcPr>
          <w:p w14:paraId="6BCEDEFC" w14:textId="77777777" w:rsidR="00E41AB9" w:rsidRPr="005C3E39" w:rsidRDefault="00E41AB9" w:rsidP="00E41AB9">
            <w:pPr>
              <w:spacing w:line="312" w:lineRule="auto"/>
              <w:rPr>
                <w:rFonts w:eastAsia="Calibri"/>
                <w:sz w:val="20"/>
                <w:lang w:val="en-US"/>
              </w:rPr>
            </w:pPr>
            <w:r w:rsidRPr="005C3E39">
              <w:rPr>
                <w:rFonts w:eastAsia="Calibri"/>
                <w:sz w:val="20"/>
              </w:rPr>
              <w:t>ruAAA</w:t>
            </w:r>
          </w:p>
        </w:tc>
        <w:tc>
          <w:tcPr>
            <w:tcW w:w="2027" w:type="dxa"/>
            <w:vAlign w:val="center"/>
          </w:tcPr>
          <w:p w14:paraId="7A4D69BF" w14:textId="77777777" w:rsidR="00E41AB9" w:rsidRPr="005C3E39" w:rsidRDefault="00E41AB9" w:rsidP="00E41AB9">
            <w:pPr>
              <w:spacing w:line="312" w:lineRule="auto"/>
              <w:rPr>
                <w:rFonts w:eastAsia="Calibri"/>
                <w:sz w:val="20"/>
              </w:rPr>
            </w:pPr>
            <w:r w:rsidRPr="005C3E39">
              <w:rPr>
                <w:rFonts w:eastAsia="Calibri"/>
                <w:sz w:val="20"/>
              </w:rPr>
              <w:t>AAA.ru</w:t>
            </w:r>
          </w:p>
        </w:tc>
        <w:tc>
          <w:tcPr>
            <w:tcW w:w="2028" w:type="dxa"/>
            <w:vAlign w:val="center"/>
          </w:tcPr>
          <w:p w14:paraId="06DEBC80" w14:textId="77777777" w:rsidR="00E41AB9" w:rsidRPr="005C3E39" w:rsidRDefault="00E41AB9" w:rsidP="00E41AB9">
            <w:pPr>
              <w:spacing w:line="312" w:lineRule="auto"/>
              <w:rPr>
                <w:rFonts w:eastAsia="Calibri"/>
                <w:sz w:val="20"/>
              </w:rPr>
            </w:pPr>
            <w:r w:rsidRPr="005C3E39">
              <w:rPr>
                <w:rFonts w:eastAsia="Calibri"/>
                <w:sz w:val="20"/>
              </w:rPr>
              <w:t>AAA|ru|</w:t>
            </w:r>
          </w:p>
        </w:tc>
        <w:tc>
          <w:tcPr>
            <w:tcW w:w="2028" w:type="dxa"/>
            <w:vAlign w:val="center"/>
          </w:tcPr>
          <w:p w14:paraId="29F23492" w14:textId="77777777" w:rsidR="00E41AB9" w:rsidRPr="005C3E39" w:rsidRDefault="00E41AB9" w:rsidP="00E41AB9">
            <w:pPr>
              <w:spacing w:line="312" w:lineRule="auto"/>
              <w:jc w:val="both"/>
              <w:rPr>
                <w:rFonts w:eastAsia="Calibri"/>
                <w:b/>
                <w:lang w:val="en-US"/>
              </w:rPr>
            </w:pPr>
            <w:r w:rsidRPr="005C3E39">
              <w:rPr>
                <w:rFonts w:eastAsia="Calibri"/>
                <w:b/>
              </w:rPr>
              <w:t xml:space="preserve">Рейтинговая группа </w:t>
            </w:r>
            <w:r w:rsidRPr="005C3E39">
              <w:rPr>
                <w:rFonts w:eastAsia="Calibri"/>
                <w:b/>
                <w:lang w:val="en-US"/>
              </w:rPr>
              <w:t>I</w:t>
            </w:r>
          </w:p>
        </w:tc>
      </w:tr>
      <w:tr w:rsidR="00E41AB9" w:rsidRPr="005C3E39" w14:paraId="1C1E082B" w14:textId="77777777" w:rsidTr="00E41AB9">
        <w:tc>
          <w:tcPr>
            <w:tcW w:w="2027" w:type="dxa"/>
            <w:vAlign w:val="center"/>
          </w:tcPr>
          <w:p w14:paraId="28A69E8B" w14:textId="77777777" w:rsidR="00E41AB9" w:rsidRPr="005C3E39" w:rsidRDefault="00E41AB9" w:rsidP="00E41AB9">
            <w:pPr>
              <w:spacing w:line="312" w:lineRule="auto"/>
              <w:rPr>
                <w:rFonts w:eastAsia="Calibri"/>
                <w:sz w:val="20"/>
                <w:lang w:val="en-US"/>
              </w:rPr>
            </w:pPr>
            <w:r w:rsidRPr="005C3E39">
              <w:rPr>
                <w:rFonts w:eastAsia="Calibri"/>
                <w:sz w:val="20"/>
                <w:lang w:val="en-US"/>
              </w:rPr>
              <w:t>AA+(RU), AA(RU),</w:t>
            </w:r>
          </w:p>
          <w:p w14:paraId="1B1D0354" w14:textId="77777777" w:rsidR="00E41AB9" w:rsidRPr="005C3E39" w:rsidRDefault="00E41AB9" w:rsidP="00E41AB9">
            <w:pPr>
              <w:spacing w:line="312" w:lineRule="auto"/>
              <w:rPr>
                <w:rFonts w:eastAsia="Calibri"/>
                <w:sz w:val="20"/>
                <w:lang w:val="en-US"/>
              </w:rPr>
            </w:pPr>
            <w:r w:rsidRPr="005C3E39">
              <w:rPr>
                <w:rFonts w:eastAsia="Calibri"/>
                <w:sz w:val="20"/>
                <w:lang w:val="en-US"/>
              </w:rPr>
              <w:t>AA-(RU), A+(RU),</w:t>
            </w:r>
          </w:p>
          <w:p w14:paraId="43157645" w14:textId="77777777" w:rsidR="00E41AB9" w:rsidRPr="005C3E39" w:rsidRDefault="00E41AB9" w:rsidP="00E41AB9">
            <w:pPr>
              <w:spacing w:line="312" w:lineRule="auto"/>
              <w:rPr>
                <w:rFonts w:eastAsia="Calibri"/>
                <w:sz w:val="20"/>
                <w:lang w:val="en-US"/>
              </w:rPr>
            </w:pPr>
            <w:r w:rsidRPr="005C3E39">
              <w:rPr>
                <w:rFonts w:eastAsia="Calibri"/>
                <w:sz w:val="20"/>
                <w:lang w:val="en-US"/>
              </w:rPr>
              <w:t>A (RU), A-(RU)</w:t>
            </w:r>
          </w:p>
        </w:tc>
        <w:tc>
          <w:tcPr>
            <w:tcW w:w="2027" w:type="dxa"/>
            <w:vAlign w:val="center"/>
          </w:tcPr>
          <w:p w14:paraId="29671D38" w14:textId="77777777" w:rsidR="00E41AB9" w:rsidRPr="005C3E39" w:rsidRDefault="00E41AB9" w:rsidP="00E41AB9">
            <w:pPr>
              <w:spacing w:line="312" w:lineRule="auto"/>
              <w:rPr>
                <w:rFonts w:eastAsia="Calibri"/>
                <w:sz w:val="20"/>
                <w:lang w:val="en-US"/>
              </w:rPr>
            </w:pPr>
            <w:r w:rsidRPr="005C3E39">
              <w:rPr>
                <w:rFonts w:eastAsia="Calibri"/>
                <w:sz w:val="20"/>
                <w:lang w:val="en-US"/>
              </w:rPr>
              <w:t>ruAA+, ruAA,</w:t>
            </w:r>
          </w:p>
          <w:p w14:paraId="73D8B340" w14:textId="77777777" w:rsidR="00E41AB9" w:rsidRPr="005C3E39" w:rsidRDefault="00E41AB9" w:rsidP="00E41AB9">
            <w:pPr>
              <w:spacing w:line="312" w:lineRule="auto"/>
              <w:rPr>
                <w:rFonts w:eastAsia="Calibri"/>
                <w:sz w:val="20"/>
                <w:lang w:val="en-US"/>
              </w:rPr>
            </w:pPr>
            <w:r w:rsidRPr="005C3E39">
              <w:rPr>
                <w:rFonts w:eastAsia="Calibri"/>
                <w:sz w:val="20"/>
                <w:lang w:val="en-US"/>
              </w:rPr>
              <w:t>ruAA-, ruA+,</w:t>
            </w:r>
          </w:p>
          <w:p w14:paraId="5B618A25" w14:textId="77777777" w:rsidR="00E41AB9" w:rsidRPr="005C3E39" w:rsidRDefault="00E41AB9" w:rsidP="00E41AB9">
            <w:pPr>
              <w:spacing w:line="312" w:lineRule="auto"/>
              <w:rPr>
                <w:rFonts w:eastAsia="Calibri"/>
                <w:sz w:val="20"/>
                <w:lang w:val="en-US"/>
              </w:rPr>
            </w:pPr>
            <w:r w:rsidRPr="005C3E39">
              <w:rPr>
                <w:rFonts w:eastAsia="Calibri"/>
                <w:sz w:val="20"/>
                <w:lang w:val="en-US"/>
              </w:rPr>
              <w:t>ruA, ruA-</w:t>
            </w:r>
          </w:p>
        </w:tc>
        <w:tc>
          <w:tcPr>
            <w:tcW w:w="2027" w:type="dxa"/>
            <w:vAlign w:val="center"/>
          </w:tcPr>
          <w:p w14:paraId="47FD9CDC" w14:textId="77777777" w:rsidR="00E41AB9" w:rsidRPr="005C3E39" w:rsidRDefault="00E41AB9" w:rsidP="00E41AB9">
            <w:pPr>
              <w:spacing w:line="312" w:lineRule="auto"/>
              <w:rPr>
                <w:rFonts w:eastAsia="Calibri"/>
                <w:sz w:val="20"/>
                <w:lang w:val="en-US"/>
              </w:rPr>
            </w:pPr>
            <w:r w:rsidRPr="005C3E39">
              <w:rPr>
                <w:rFonts w:eastAsia="Calibri"/>
                <w:sz w:val="20"/>
                <w:lang w:val="en-US"/>
              </w:rPr>
              <w:t>AA+.ru, AA.ru,</w:t>
            </w:r>
          </w:p>
          <w:p w14:paraId="67778195" w14:textId="77777777" w:rsidR="00E41AB9" w:rsidRPr="005C3E39" w:rsidRDefault="00E41AB9" w:rsidP="00E41AB9">
            <w:pPr>
              <w:spacing w:line="312" w:lineRule="auto"/>
              <w:rPr>
                <w:rFonts w:eastAsia="Calibri"/>
                <w:sz w:val="20"/>
                <w:lang w:val="en-US"/>
              </w:rPr>
            </w:pPr>
            <w:r w:rsidRPr="005C3E39">
              <w:rPr>
                <w:rFonts w:eastAsia="Calibri"/>
                <w:sz w:val="20"/>
                <w:lang w:val="en-US"/>
              </w:rPr>
              <w:t>AA-.ru, A+.ru,</w:t>
            </w:r>
          </w:p>
          <w:p w14:paraId="6EB30CEA" w14:textId="77777777" w:rsidR="00E41AB9" w:rsidRPr="005C3E39" w:rsidRDefault="00E41AB9" w:rsidP="00E41AB9">
            <w:pPr>
              <w:spacing w:line="312" w:lineRule="auto"/>
              <w:rPr>
                <w:rFonts w:eastAsia="Calibri"/>
                <w:sz w:val="20"/>
                <w:lang w:val="en-US"/>
              </w:rPr>
            </w:pPr>
            <w:r w:rsidRPr="005C3E39">
              <w:rPr>
                <w:rFonts w:eastAsia="Calibri"/>
                <w:sz w:val="20"/>
                <w:lang w:val="en-US"/>
              </w:rPr>
              <w:t>A.ru, A-.ru</w:t>
            </w:r>
          </w:p>
        </w:tc>
        <w:tc>
          <w:tcPr>
            <w:tcW w:w="2028" w:type="dxa"/>
            <w:vAlign w:val="center"/>
          </w:tcPr>
          <w:p w14:paraId="66035A67" w14:textId="77777777" w:rsidR="00E41AB9" w:rsidRPr="005C3E39" w:rsidRDefault="00E41AB9" w:rsidP="00E41AB9">
            <w:pPr>
              <w:spacing w:line="312" w:lineRule="auto"/>
              <w:rPr>
                <w:rFonts w:eastAsia="Calibri"/>
                <w:sz w:val="20"/>
                <w:lang w:val="en-US"/>
              </w:rPr>
            </w:pPr>
            <w:r w:rsidRPr="005C3E39">
              <w:rPr>
                <w:rFonts w:eastAsia="Calibri"/>
                <w:sz w:val="20"/>
                <w:lang w:val="en-US"/>
              </w:rPr>
              <w:t>AA+|ru|, AA|ru|,</w:t>
            </w:r>
          </w:p>
          <w:p w14:paraId="29B002C0" w14:textId="77777777" w:rsidR="00E41AB9" w:rsidRPr="005C3E39" w:rsidRDefault="00E41AB9" w:rsidP="00E41AB9">
            <w:pPr>
              <w:spacing w:line="312" w:lineRule="auto"/>
              <w:rPr>
                <w:rFonts w:eastAsia="Calibri"/>
                <w:sz w:val="20"/>
                <w:lang w:val="en-US"/>
              </w:rPr>
            </w:pPr>
            <w:r w:rsidRPr="005C3E39">
              <w:rPr>
                <w:rFonts w:eastAsia="Calibri"/>
                <w:sz w:val="20"/>
                <w:lang w:val="en-US"/>
              </w:rPr>
              <w:t>AA-|ru|,  A+|ru|,</w:t>
            </w:r>
          </w:p>
          <w:p w14:paraId="606657B7" w14:textId="77777777" w:rsidR="00E41AB9" w:rsidRPr="005C3E39" w:rsidRDefault="00E41AB9" w:rsidP="00E41AB9">
            <w:pPr>
              <w:spacing w:line="312" w:lineRule="auto"/>
              <w:rPr>
                <w:rFonts w:eastAsia="Calibri"/>
                <w:sz w:val="20"/>
                <w:lang w:val="en-US"/>
              </w:rPr>
            </w:pPr>
            <w:r w:rsidRPr="005C3E39">
              <w:rPr>
                <w:rFonts w:eastAsia="Calibri"/>
                <w:sz w:val="20"/>
                <w:lang w:val="en-US"/>
              </w:rPr>
              <w:t>A|ru|, A-|ru|</w:t>
            </w:r>
          </w:p>
        </w:tc>
        <w:tc>
          <w:tcPr>
            <w:tcW w:w="2028" w:type="dxa"/>
            <w:vAlign w:val="center"/>
          </w:tcPr>
          <w:p w14:paraId="513FEAC2" w14:textId="77777777" w:rsidR="00E41AB9" w:rsidRPr="005C3E39" w:rsidRDefault="00E41AB9" w:rsidP="00E41AB9">
            <w:pPr>
              <w:spacing w:line="312" w:lineRule="auto"/>
              <w:jc w:val="both"/>
              <w:rPr>
                <w:rFonts w:eastAsia="Calibri"/>
                <w:b/>
                <w:lang w:val="en-US"/>
              </w:rPr>
            </w:pPr>
            <w:r w:rsidRPr="005C3E39">
              <w:rPr>
                <w:rFonts w:eastAsia="Calibri"/>
                <w:b/>
              </w:rPr>
              <w:t>Рейтинговая группа</w:t>
            </w:r>
            <w:r w:rsidRPr="005C3E39">
              <w:rPr>
                <w:rFonts w:eastAsia="Calibri"/>
                <w:b/>
                <w:lang w:val="en-US"/>
              </w:rPr>
              <w:t xml:space="preserve"> II</w:t>
            </w:r>
          </w:p>
        </w:tc>
      </w:tr>
      <w:tr w:rsidR="00E41AB9" w:rsidRPr="005C3E39" w14:paraId="00B20D8B" w14:textId="77777777" w:rsidTr="00E41AB9">
        <w:tc>
          <w:tcPr>
            <w:tcW w:w="2027" w:type="dxa"/>
            <w:vAlign w:val="center"/>
          </w:tcPr>
          <w:p w14:paraId="472C1E7B" w14:textId="77777777" w:rsidR="00E41AB9" w:rsidRPr="005C3E39" w:rsidRDefault="00E41AB9" w:rsidP="00E41AB9">
            <w:pPr>
              <w:spacing w:line="312" w:lineRule="auto"/>
              <w:rPr>
                <w:rFonts w:eastAsia="Calibri"/>
                <w:sz w:val="20"/>
                <w:lang w:val="en-US"/>
              </w:rPr>
            </w:pPr>
            <w:r w:rsidRPr="005C3E39">
              <w:rPr>
                <w:rFonts w:eastAsia="Calibri"/>
                <w:sz w:val="20"/>
                <w:lang w:val="en-US"/>
              </w:rPr>
              <w:t>BBB+(RU),</w:t>
            </w:r>
          </w:p>
          <w:p w14:paraId="029A2BC1" w14:textId="77777777" w:rsidR="00E41AB9" w:rsidRPr="005C3E39" w:rsidRDefault="00E41AB9" w:rsidP="00E41AB9">
            <w:pPr>
              <w:spacing w:line="312" w:lineRule="auto"/>
              <w:rPr>
                <w:rFonts w:eastAsia="Calibri"/>
                <w:sz w:val="20"/>
                <w:lang w:val="en-US"/>
              </w:rPr>
            </w:pPr>
            <w:r w:rsidRPr="005C3E39">
              <w:rPr>
                <w:rFonts w:eastAsia="Calibri"/>
                <w:sz w:val="20"/>
                <w:lang w:val="en-US"/>
              </w:rPr>
              <w:t xml:space="preserve">BBB (RU), </w:t>
            </w:r>
          </w:p>
          <w:p w14:paraId="6F8D4122" w14:textId="77777777" w:rsidR="00E41AB9" w:rsidRPr="005C3E39" w:rsidRDefault="00E41AB9" w:rsidP="00E41AB9">
            <w:pPr>
              <w:spacing w:line="312" w:lineRule="auto"/>
              <w:rPr>
                <w:rFonts w:eastAsia="Calibri"/>
                <w:sz w:val="20"/>
                <w:lang w:val="en-US"/>
              </w:rPr>
            </w:pPr>
            <w:r w:rsidRPr="005C3E39">
              <w:rPr>
                <w:rFonts w:eastAsia="Calibri"/>
                <w:sz w:val="20"/>
                <w:lang w:val="en-US"/>
              </w:rPr>
              <w:t>BBB-(RU), BB+(RU)</w:t>
            </w:r>
          </w:p>
        </w:tc>
        <w:tc>
          <w:tcPr>
            <w:tcW w:w="2027" w:type="dxa"/>
            <w:vAlign w:val="center"/>
          </w:tcPr>
          <w:p w14:paraId="1908B423" w14:textId="77777777" w:rsidR="00E41AB9" w:rsidRPr="005C3E39" w:rsidRDefault="00E41AB9" w:rsidP="00E41AB9">
            <w:pPr>
              <w:spacing w:line="312" w:lineRule="auto"/>
              <w:rPr>
                <w:rFonts w:eastAsia="Calibri"/>
                <w:sz w:val="20"/>
                <w:lang w:val="en-US"/>
              </w:rPr>
            </w:pPr>
            <w:r w:rsidRPr="005C3E39">
              <w:rPr>
                <w:rFonts w:eastAsia="Calibri"/>
                <w:sz w:val="20"/>
                <w:lang w:val="en-US"/>
              </w:rPr>
              <w:t>ruBBB</w:t>
            </w:r>
            <w:r w:rsidRPr="005C3E39">
              <w:rPr>
                <w:rFonts w:eastAsia="Calibri"/>
                <w:sz w:val="20"/>
              </w:rPr>
              <w:t>+,</w:t>
            </w:r>
          </w:p>
          <w:p w14:paraId="7DF353CA" w14:textId="77777777" w:rsidR="00E41AB9" w:rsidRPr="005C3E39" w:rsidRDefault="00E41AB9" w:rsidP="00E41AB9">
            <w:pPr>
              <w:spacing w:line="312" w:lineRule="auto"/>
              <w:rPr>
                <w:rFonts w:eastAsia="Calibri"/>
                <w:sz w:val="20"/>
                <w:lang w:val="en-US"/>
              </w:rPr>
            </w:pPr>
            <w:r w:rsidRPr="005C3E39">
              <w:rPr>
                <w:rFonts w:eastAsia="Calibri"/>
                <w:sz w:val="20"/>
                <w:lang w:val="en-US"/>
              </w:rPr>
              <w:t>ruBBB</w:t>
            </w:r>
            <w:r w:rsidRPr="005C3E39">
              <w:rPr>
                <w:rFonts w:eastAsia="Calibri"/>
                <w:sz w:val="20"/>
              </w:rPr>
              <w:t>,</w:t>
            </w:r>
          </w:p>
          <w:p w14:paraId="7AE26B9C" w14:textId="77777777" w:rsidR="00E41AB9" w:rsidRPr="005C3E39" w:rsidRDefault="00E41AB9" w:rsidP="00E41AB9">
            <w:pPr>
              <w:spacing w:line="312" w:lineRule="auto"/>
              <w:rPr>
                <w:rFonts w:eastAsia="Calibri"/>
                <w:sz w:val="20"/>
              </w:rPr>
            </w:pPr>
            <w:r w:rsidRPr="005C3E39">
              <w:rPr>
                <w:rFonts w:eastAsia="Calibri"/>
                <w:sz w:val="20"/>
                <w:lang w:val="en-US"/>
              </w:rPr>
              <w:t>ruBBB</w:t>
            </w:r>
            <w:r w:rsidRPr="005C3E39">
              <w:rPr>
                <w:rFonts w:eastAsia="Calibri"/>
                <w:sz w:val="20"/>
              </w:rPr>
              <w:t xml:space="preserve">-, </w:t>
            </w:r>
            <w:r w:rsidRPr="005C3E39">
              <w:rPr>
                <w:rFonts w:eastAsia="Calibri"/>
                <w:sz w:val="20"/>
                <w:lang w:val="en-US"/>
              </w:rPr>
              <w:t>ruBB</w:t>
            </w:r>
            <w:r w:rsidRPr="005C3E39">
              <w:rPr>
                <w:rFonts w:eastAsia="Calibri"/>
                <w:sz w:val="20"/>
              </w:rPr>
              <w:t>+</w:t>
            </w:r>
          </w:p>
        </w:tc>
        <w:tc>
          <w:tcPr>
            <w:tcW w:w="2027" w:type="dxa"/>
            <w:vAlign w:val="center"/>
          </w:tcPr>
          <w:p w14:paraId="5B4729FE" w14:textId="77777777" w:rsidR="00E41AB9" w:rsidRPr="005C3E39" w:rsidRDefault="00E41AB9" w:rsidP="00E41AB9">
            <w:pPr>
              <w:spacing w:line="312" w:lineRule="auto"/>
              <w:rPr>
                <w:rFonts w:eastAsia="Calibri"/>
                <w:sz w:val="20"/>
                <w:lang w:val="en-US"/>
              </w:rPr>
            </w:pPr>
            <w:r w:rsidRPr="005C3E39">
              <w:rPr>
                <w:rFonts w:eastAsia="Calibri"/>
                <w:sz w:val="20"/>
                <w:lang w:val="en-US"/>
              </w:rPr>
              <w:t>BBB+.ru,</w:t>
            </w:r>
          </w:p>
          <w:p w14:paraId="5422EBE2" w14:textId="77777777" w:rsidR="00E41AB9" w:rsidRPr="005C3E39" w:rsidRDefault="00E41AB9" w:rsidP="00E41AB9">
            <w:pPr>
              <w:spacing w:line="312" w:lineRule="auto"/>
              <w:rPr>
                <w:rFonts w:eastAsia="Calibri"/>
                <w:sz w:val="20"/>
                <w:lang w:val="en-US"/>
              </w:rPr>
            </w:pPr>
            <w:r w:rsidRPr="005C3E39">
              <w:rPr>
                <w:rFonts w:eastAsia="Calibri"/>
                <w:sz w:val="20"/>
                <w:lang w:val="en-US"/>
              </w:rPr>
              <w:t>BBB.ru,</w:t>
            </w:r>
          </w:p>
          <w:p w14:paraId="5AC02B8B" w14:textId="77777777" w:rsidR="00E41AB9" w:rsidRPr="005C3E39" w:rsidRDefault="00E41AB9" w:rsidP="00E41AB9">
            <w:pPr>
              <w:spacing w:line="312" w:lineRule="auto"/>
              <w:rPr>
                <w:rFonts w:eastAsia="Calibri"/>
                <w:sz w:val="20"/>
                <w:lang w:val="en-US"/>
              </w:rPr>
            </w:pPr>
            <w:r w:rsidRPr="005C3E39">
              <w:rPr>
                <w:rFonts w:eastAsia="Calibri"/>
                <w:sz w:val="20"/>
                <w:lang w:val="en-US"/>
              </w:rPr>
              <w:t>BBB-.ru, BB+.ru</w:t>
            </w:r>
          </w:p>
        </w:tc>
        <w:tc>
          <w:tcPr>
            <w:tcW w:w="2028" w:type="dxa"/>
            <w:vAlign w:val="center"/>
          </w:tcPr>
          <w:p w14:paraId="195369A9" w14:textId="77777777" w:rsidR="00E41AB9" w:rsidRPr="005C3E39" w:rsidRDefault="00E41AB9" w:rsidP="00E41AB9">
            <w:pPr>
              <w:spacing w:line="312" w:lineRule="auto"/>
              <w:rPr>
                <w:rFonts w:eastAsia="Calibri"/>
                <w:sz w:val="20"/>
                <w:lang w:val="en-US"/>
              </w:rPr>
            </w:pPr>
            <w:r w:rsidRPr="005C3E39">
              <w:rPr>
                <w:rFonts w:eastAsia="Calibri"/>
                <w:sz w:val="20"/>
                <w:lang w:val="en-US"/>
              </w:rPr>
              <w:t>BBB+|ru|,</w:t>
            </w:r>
          </w:p>
          <w:p w14:paraId="30093D08" w14:textId="77777777" w:rsidR="00E41AB9" w:rsidRPr="005C3E39" w:rsidRDefault="00E41AB9" w:rsidP="00E41AB9">
            <w:pPr>
              <w:spacing w:line="312" w:lineRule="auto"/>
              <w:rPr>
                <w:rFonts w:eastAsia="Calibri"/>
                <w:sz w:val="20"/>
                <w:lang w:val="en-US"/>
              </w:rPr>
            </w:pPr>
            <w:r w:rsidRPr="005C3E39">
              <w:rPr>
                <w:rFonts w:eastAsia="Calibri"/>
                <w:sz w:val="20"/>
                <w:lang w:val="en-US"/>
              </w:rPr>
              <w:t>BBB|ru|,</w:t>
            </w:r>
          </w:p>
          <w:p w14:paraId="6D771E11" w14:textId="77777777" w:rsidR="00E41AB9" w:rsidRPr="005C3E39" w:rsidRDefault="00E41AB9" w:rsidP="00E41AB9">
            <w:pPr>
              <w:spacing w:line="312" w:lineRule="auto"/>
              <w:rPr>
                <w:rFonts w:eastAsia="Calibri"/>
                <w:sz w:val="20"/>
                <w:lang w:val="en-US"/>
              </w:rPr>
            </w:pPr>
            <w:r w:rsidRPr="005C3E39">
              <w:rPr>
                <w:rFonts w:eastAsia="Calibri"/>
                <w:sz w:val="20"/>
                <w:lang w:val="en-US"/>
              </w:rPr>
              <w:t>BBB-|ru| BB+|ru|</w:t>
            </w:r>
          </w:p>
        </w:tc>
        <w:tc>
          <w:tcPr>
            <w:tcW w:w="2028" w:type="dxa"/>
            <w:vAlign w:val="center"/>
          </w:tcPr>
          <w:p w14:paraId="0DC95AEE" w14:textId="77777777" w:rsidR="00E41AB9" w:rsidRPr="005C3E39" w:rsidRDefault="00E41AB9" w:rsidP="00E41AB9">
            <w:pPr>
              <w:spacing w:line="312" w:lineRule="auto"/>
              <w:jc w:val="both"/>
              <w:rPr>
                <w:rFonts w:eastAsia="Calibri"/>
                <w:b/>
              </w:rPr>
            </w:pPr>
            <w:r w:rsidRPr="005C3E39">
              <w:rPr>
                <w:rFonts w:eastAsia="Calibri"/>
                <w:b/>
              </w:rPr>
              <w:t xml:space="preserve">Рейтинговая группа </w:t>
            </w:r>
            <w:r w:rsidRPr="005C3E39">
              <w:rPr>
                <w:rFonts w:eastAsia="Calibri"/>
                <w:b/>
                <w:lang w:val="en-US"/>
              </w:rPr>
              <w:t>III</w:t>
            </w:r>
          </w:p>
        </w:tc>
      </w:tr>
      <w:tr w:rsidR="00E41AB9" w:rsidRPr="005C3E39" w14:paraId="6F611043" w14:textId="77777777" w:rsidTr="00E41AB9">
        <w:tc>
          <w:tcPr>
            <w:tcW w:w="8109" w:type="dxa"/>
            <w:gridSpan w:val="4"/>
            <w:vAlign w:val="center"/>
          </w:tcPr>
          <w:p w14:paraId="49BE3FFF" w14:textId="77777777" w:rsidR="00E41AB9" w:rsidRPr="005C3E39" w:rsidRDefault="00E41AB9" w:rsidP="00E41AB9">
            <w:pPr>
              <w:spacing w:line="312" w:lineRule="auto"/>
              <w:jc w:val="center"/>
              <w:rPr>
                <w:rFonts w:eastAsia="Calibri"/>
              </w:rPr>
            </w:pPr>
            <w:r w:rsidRPr="005C3E39">
              <w:rPr>
                <w:rFonts w:eastAsia="Calibri"/>
              </w:rPr>
              <w:t>Более низкий рейтинг / рейтинг отсутствует</w:t>
            </w:r>
          </w:p>
        </w:tc>
        <w:tc>
          <w:tcPr>
            <w:tcW w:w="2028" w:type="dxa"/>
            <w:vAlign w:val="center"/>
          </w:tcPr>
          <w:p w14:paraId="22AA03D0" w14:textId="77777777" w:rsidR="00E41AB9" w:rsidRPr="005C3E39" w:rsidRDefault="00E41AB9" w:rsidP="00E41AB9">
            <w:pPr>
              <w:spacing w:line="312" w:lineRule="auto"/>
              <w:jc w:val="both"/>
              <w:rPr>
                <w:rFonts w:eastAsia="Calibri"/>
                <w:b/>
                <w:lang w:val="en-US"/>
              </w:rPr>
            </w:pPr>
            <w:r w:rsidRPr="005C3E39">
              <w:rPr>
                <w:rFonts w:eastAsia="Calibri"/>
                <w:b/>
              </w:rPr>
              <w:t>Рейтинговая группа</w:t>
            </w:r>
            <w:r w:rsidRPr="005C3E39">
              <w:rPr>
                <w:rFonts w:eastAsia="Calibri"/>
                <w:b/>
                <w:lang w:val="en-US"/>
              </w:rPr>
              <w:t xml:space="preserve"> IV</w:t>
            </w:r>
          </w:p>
        </w:tc>
      </w:tr>
    </w:tbl>
    <w:p w14:paraId="79B9C20A" w14:textId="77777777" w:rsidR="00E41AB9" w:rsidRDefault="00E41AB9" w:rsidP="00E41AB9">
      <w:pPr>
        <w:spacing w:line="312" w:lineRule="auto"/>
        <w:ind w:firstLine="708"/>
        <w:jc w:val="both"/>
        <w:rPr>
          <w:rFonts w:eastAsia="Calibri"/>
          <w:szCs w:val="24"/>
        </w:rPr>
      </w:pPr>
    </w:p>
    <w:p w14:paraId="6655E275" w14:textId="77777777" w:rsidR="00E41AB9" w:rsidRPr="005C3E39" w:rsidRDefault="00E41AB9" w:rsidP="00E41AB9">
      <w:pPr>
        <w:spacing w:line="312" w:lineRule="auto"/>
        <w:ind w:firstLine="708"/>
        <w:jc w:val="both"/>
        <w:rPr>
          <w:rFonts w:eastAsia="Calibri"/>
          <w:szCs w:val="24"/>
        </w:rPr>
      </w:pPr>
      <w:r w:rsidRPr="005C3E39">
        <w:rPr>
          <w:rFonts w:eastAsia="Calibri"/>
          <w:szCs w:val="24"/>
        </w:rPr>
        <w:t xml:space="preserve">Кредитный спред для рейтинговых групп </w:t>
      </w:r>
      <w:r w:rsidRPr="005C3E39">
        <w:rPr>
          <w:rFonts w:eastAsia="Calibri"/>
          <w:szCs w:val="24"/>
          <w:lang w:val="en-US"/>
        </w:rPr>
        <w:t>I</w:t>
      </w:r>
      <w:r w:rsidRPr="005C3E39">
        <w:rPr>
          <w:rFonts w:eastAsia="Calibri"/>
          <w:szCs w:val="24"/>
        </w:rPr>
        <w:t xml:space="preserve">, </w:t>
      </w:r>
      <w:r w:rsidRPr="005C3E39">
        <w:rPr>
          <w:rFonts w:eastAsia="Calibri"/>
          <w:szCs w:val="24"/>
          <w:lang w:val="en-US"/>
        </w:rPr>
        <w:t>II</w:t>
      </w:r>
      <w:r w:rsidRPr="005C3E39">
        <w:rPr>
          <w:rFonts w:eastAsia="Calibri"/>
          <w:szCs w:val="24"/>
        </w:rPr>
        <w:t xml:space="preserve">, </w:t>
      </w:r>
      <w:r w:rsidRPr="005C3E39">
        <w:rPr>
          <w:rFonts w:eastAsia="Calibri"/>
          <w:szCs w:val="24"/>
          <w:lang w:val="en-US"/>
        </w:rPr>
        <w:t>III</w:t>
      </w:r>
      <w:r w:rsidRPr="005C3E39">
        <w:rPr>
          <w:rFonts w:eastAsia="Calibri"/>
          <w:szCs w:val="24"/>
        </w:rPr>
        <w:t xml:space="preserve"> рассчитывается на каждую дату определения справедливой стоимости долгового инструмента.</w:t>
      </w:r>
    </w:p>
    <w:p w14:paraId="07DD80D8" w14:textId="77777777" w:rsidR="00E41AB9" w:rsidRPr="005C3E39" w:rsidRDefault="00E41AB9" w:rsidP="00E41AB9">
      <w:pPr>
        <w:spacing w:line="312" w:lineRule="auto"/>
        <w:ind w:firstLine="708"/>
        <w:jc w:val="both"/>
        <w:rPr>
          <w:rFonts w:eastAsia="Calibri"/>
          <w:szCs w:val="24"/>
        </w:rPr>
      </w:pPr>
      <w:r w:rsidRPr="005C3E39">
        <w:rPr>
          <w:rFonts w:eastAsia="Calibri"/>
          <w:szCs w:val="24"/>
        </w:rPr>
        <w:t>При вычислении кредитного спреда I, II, III рейтинговых групп используется медианное значение кредитного спреда за последние 20 торговых дней (&lt;= даты определения справедливой стоимости).</w:t>
      </w:r>
    </w:p>
    <w:p w14:paraId="57A485E1" w14:textId="77777777" w:rsidR="00E41AB9" w:rsidRPr="005C3E39" w:rsidRDefault="00E41AB9" w:rsidP="00E41AB9">
      <w:pPr>
        <w:spacing w:line="312" w:lineRule="auto"/>
        <w:ind w:firstLine="690"/>
        <w:jc w:val="both"/>
        <w:rPr>
          <w:rFonts w:eastAsia="Calibri"/>
          <w:szCs w:val="24"/>
        </w:rPr>
      </w:pPr>
      <w:r w:rsidRPr="005C3E39">
        <w:rPr>
          <w:rFonts w:eastAsia="Calibri"/>
          <w:szCs w:val="24"/>
        </w:rPr>
        <w:t>Для расчета медианного значения кредитного спреда I, II, III рейтинговых групп используются значения доходности следующих облигационных индексов Московской биржи, раскрываемых по итогам каждого торгового дня на сайте Московской биржи:</w:t>
      </w:r>
    </w:p>
    <w:p w14:paraId="5DB0F768" w14:textId="77777777" w:rsidR="00E41AB9" w:rsidRPr="005C3E39" w:rsidRDefault="00E41AB9" w:rsidP="00E41AB9">
      <w:pPr>
        <w:spacing w:line="312" w:lineRule="auto"/>
        <w:jc w:val="both"/>
        <w:rPr>
          <w:rFonts w:eastAsia="Calibri"/>
          <w:szCs w:val="24"/>
        </w:rPr>
      </w:pPr>
    </w:p>
    <w:p w14:paraId="6910357C" w14:textId="77777777" w:rsidR="00E41AB9" w:rsidRPr="005C3E39" w:rsidRDefault="00E41AB9" w:rsidP="00E41AB9">
      <w:pPr>
        <w:numPr>
          <w:ilvl w:val="0"/>
          <w:numId w:val="8"/>
        </w:numPr>
        <w:spacing w:line="312" w:lineRule="auto"/>
        <w:contextualSpacing/>
        <w:jc w:val="both"/>
        <w:rPr>
          <w:rFonts w:eastAsia="Calibri"/>
          <w:szCs w:val="24"/>
        </w:rPr>
      </w:pPr>
      <w:r w:rsidRPr="005C3E39">
        <w:rPr>
          <w:rFonts w:eastAsia="Calibri"/>
          <w:szCs w:val="24"/>
        </w:rPr>
        <w:t>Индекс корпоративных облигаций (&gt; 1 года, рейтинг =</w:t>
      </w:r>
      <w:r w:rsidRPr="005C3E39">
        <w:t xml:space="preserve"> </w:t>
      </w:r>
      <w:r w:rsidRPr="005C3E39">
        <w:rPr>
          <w:rFonts w:eastAsia="Calibri"/>
          <w:szCs w:val="24"/>
        </w:rPr>
        <w:t>AAA(RU))</w:t>
      </w:r>
    </w:p>
    <w:p w14:paraId="2DE0B4AF" w14:textId="77777777" w:rsidR="00E41AB9" w:rsidRPr="005C3E39" w:rsidRDefault="00E41AB9" w:rsidP="00E41AB9">
      <w:pPr>
        <w:spacing w:line="312" w:lineRule="auto"/>
        <w:ind w:firstLine="690"/>
        <w:contextualSpacing/>
        <w:jc w:val="both"/>
        <w:rPr>
          <w:rFonts w:eastAsia="Calibri"/>
          <w:szCs w:val="24"/>
        </w:rPr>
      </w:pPr>
      <w:r w:rsidRPr="005C3E39">
        <w:rPr>
          <w:rFonts w:eastAsia="Calibri"/>
          <w:szCs w:val="24"/>
        </w:rPr>
        <w:t>Тикер:</w:t>
      </w:r>
      <w:r w:rsidRPr="005C3E39">
        <w:rPr>
          <w:rFonts w:eastAsia="Calibri"/>
          <w:szCs w:val="24"/>
        </w:rPr>
        <w:tab/>
      </w:r>
      <w:r w:rsidRPr="005C3E39">
        <w:rPr>
          <w:rFonts w:eastAsia="Calibri"/>
          <w:szCs w:val="24"/>
        </w:rPr>
        <w:tab/>
      </w:r>
      <w:r w:rsidRPr="005C3E39">
        <w:rPr>
          <w:rFonts w:eastAsia="Calibri"/>
          <w:szCs w:val="24"/>
        </w:rPr>
        <w:tab/>
      </w:r>
      <w:r w:rsidRPr="005C3E39">
        <w:rPr>
          <w:rFonts w:eastAsia="Calibri"/>
          <w:b/>
          <w:szCs w:val="24"/>
        </w:rPr>
        <w:t>RUCBTRAAANS</w:t>
      </w:r>
    </w:p>
    <w:p w14:paraId="208060DD" w14:textId="77777777" w:rsidR="00E41AB9" w:rsidRPr="005C3E39" w:rsidRDefault="00E41AB9" w:rsidP="00E41AB9">
      <w:pPr>
        <w:spacing w:line="312" w:lineRule="auto"/>
        <w:ind w:left="690"/>
        <w:contextualSpacing/>
        <w:jc w:val="both"/>
        <w:rPr>
          <w:rFonts w:eastAsia="Calibri"/>
          <w:szCs w:val="24"/>
        </w:rPr>
      </w:pPr>
      <w:r w:rsidRPr="005C3E39">
        <w:rPr>
          <w:rFonts w:eastAsia="Calibri"/>
          <w:szCs w:val="24"/>
        </w:rPr>
        <w:t>Описание индекса:</w:t>
      </w:r>
      <w:r w:rsidRPr="005C3E39">
        <w:rPr>
          <w:rFonts w:eastAsia="Calibri"/>
          <w:szCs w:val="24"/>
        </w:rPr>
        <w:tab/>
      </w:r>
      <w:r w:rsidRPr="005C3E39">
        <w:rPr>
          <w:rFonts w:eastAsia="Calibri"/>
          <w:szCs w:val="24"/>
        </w:rPr>
        <w:tab/>
        <w:t>https://www.moex.com/ru/index/RUCBTRAAANS</w:t>
      </w:r>
    </w:p>
    <w:p w14:paraId="7810B61B" w14:textId="77777777" w:rsidR="00E41AB9" w:rsidRPr="005C3E39" w:rsidRDefault="00E41AB9" w:rsidP="00E41AB9">
      <w:pPr>
        <w:spacing w:line="312" w:lineRule="auto"/>
        <w:ind w:left="690"/>
        <w:contextualSpacing/>
        <w:jc w:val="both"/>
        <w:rPr>
          <w:rFonts w:eastAsia="Calibri"/>
          <w:szCs w:val="24"/>
        </w:rPr>
      </w:pPr>
      <w:r w:rsidRPr="005C3E39">
        <w:rPr>
          <w:rFonts w:eastAsia="Calibri"/>
          <w:szCs w:val="24"/>
        </w:rPr>
        <w:t>Архив значений:</w:t>
      </w:r>
      <w:r w:rsidRPr="005C3E39">
        <w:rPr>
          <w:rFonts w:eastAsia="Calibri"/>
          <w:szCs w:val="24"/>
        </w:rPr>
        <w:tab/>
      </w:r>
      <w:r w:rsidRPr="005C3E39">
        <w:rPr>
          <w:rFonts w:eastAsia="Calibri"/>
          <w:szCs w:val="24"/>
        </w:rPr>
        <w:tab/>
        <w:t>https://www.moex.com/ru/index/RUCBTRAAANS/archive/</w:t>
      </w:r>
    </w:p>
    <w:p w14:paraId="34271003" w14:textId="77777777" w:rsidR="00E41AB9" w:rsidRPr="005C3E39" w:rsidRDefault="00E41AB9" w:rsidP="00E41AB9">
      <w:pPr>
        <w:numPr>
          <w:ilvl w:val="0"/>
          <w:numId w:val="8"/>
        </w:numPr>
        <w:spacing w:line="312" w:lineRule="auto"/>
        <w:contextualSpacing/>
        <w:jc w:val="both"/>
        <w:rPr>
          <w:rFonts w:eastAsia="Calibri"/>
          <w:szCs w:val="24"/>
        </w:rPr>
      </w:pPr>
      <w:r w:rsidRPr="005C3E39">
        <w:rPr>
          <w:rFonts w:eastAsia="Calibri"/>
          <w:szCs w:val="24"/>
        </w:rPr>
        <w:t>Индекс корпоративных облигаций (&gt; 1 года, A-(RU) ≤ рейтинг ≤ AA+(RU))</w:t>
      </w:r>
    </w:p>
    <w:p w14:paraId="599E13A3" w14:textId="77777777" w:rsidR="00E41AB9" w:rsidRPr="005C3E39" w:rsidRDefault="00E41AB9" w:rsidP="00E41AB9">
      <w:pPr>
        <w:spacing w:line="312" w:lineRule="auto"/>
        <w:ind w:firstLine="690"/>
        <w:contextualSpacing/>
        <w:jc w:val="both"/>
        <w:rPr>
          <w:rFonts w:eastAsia="Calibri"/>
          <w:szCs w:val="24"/>
        </w:rPr>
      </w:pPr>
      <w:r w:rsidRPr="005C3E39">
        <w:rPr>
          <w:rFonts w:eastAsia="Calibri"/>
          <w:szCs w:val="24"/>
        </w:rPr>
        <w:t>Тикер:</w:t>
      </w:r>
      <w:r w:rsidRPr="005C3E39">
        <w:rPr>
          <w:rFonts w:eastAsia="Calibri"/>
          <w:szCs w:val="24"/>
        </w:rPr>
        <w:tab/>
      </w:r>
      <w:r w:rsidRPr="005C3E39">
        <w:rPr>
          <w:rFonts w:eastAsia="Calibri"/>
          <w:szCs w:val="24"/>
        </w:rPr>
        <w:tab/>
      </w:r>
      <w:r w:rsidRPr="005C3E39">
        <w:rPr>
          <w:rFonts w:eastAsia="Calibri"/>
          <w:szCs w:val="24"/>
        </w:rPr>
        <w:tab/>
      </w:r>
      <w:r w:rsidRPr="005C3E39">
        <w:rPr>
          <w:rFonts w:eastAsia="Calibri"/>
          <w:b/>
          <w:szCs w:val="24"/>
        </w:rPr>
        <w:t>RUCBTRA2A</w:t>
      </w:r>
    </w:p>
    <w:p w14:paraId="2064382C" w14:textId="77777777" w:rsidR="00E41AB9" w:rsidRPr="005C3E39" w:rsidRDefault="00E41AB9" w:rsidP="00E41AB9">
      <w:pPr>
        <w:spacing w:line="312" w:lineRule="auto"/>
        <w:ind w:left="690"/>
        <w:contextualSpacing/>
        <w:jc w:val="both"/>
        <w:rPr>
          <w:rFonts w:eastAsia="Calibri"/>
          <w:szCs w:val="24"/>
        </w:rPr>
      </w:pPr>
      <w:r w:rsidRPr="005C3E39">
        <w:rPr>
          <w:rFonts w:eastAsia="Calibri"/>
          <w:szCs w:val="24"/>
        </w:rPr>
        <w:t>Описание индекса:</w:t>
      </w:r>
      <w:r w:rsidRPr="005C3E39">
        <w:rPr>
          <w:rFonts w:eastAsia="Calibri"/>
          <w:szCs w:val="24"/>
        </w:rPr>
        <w:tab/>
      </w:r>
      <w:r w:rsidRPr="005C3E39">
        <w:rPr>
          <w:rFonts w:eastAsia="Calibri"/>
          <w:szCs w:val="24"/>
        </w:rPr>
        <w:tab/>
        <w:t>https://www.moex.com/ru/index/RUCBTRA2A</w:t>
      </w:r>
    </w:p>
    <w:p w14:paraId="3FCBAF4D" w14:textId="77777777" w:rsidR="00E41AB9" w:rsidRPr="005C3E39" w:rsidRDefault="00E41AB9" w:rsidP="00E41AB9">
      <w:pPr>
        <w:spacing w:line="312" w:lineRule="auto"/>
        <w:ind w:left="690"/>
        <w:contextualSpacing/>
        <w:jc w:val="both"/>
        <w:rPr>
          <w:rFonts w:eastAsia="Calibri"/>
          <w:szCs w:val="24"/>
        </w:rPr>
      </w:pPr>
      <w:r w:rsidRPr="005C3E39">
        <w:rPr>
          <w:rFonts w:eastAsia="Calibri"/>
          <w:szCs w:val="24"/>
        </w:rPr>
        <w:t>Архив значений:</w:t>
      </w:r>
      <w:r w:rsidRPr="005C3E39">
        <w:rPr>
          <w:rFonts w:eastAsia="Calibri"/>
          <w:szCs w:val="24"/>
        </w:rPr>
        <w:tab/>
      </w:r>
      <w:r w:rsidRPr="005C3E39">
        <w:rPr>
          <w:rFonts w:eastAsia="Calibri"/>
          <w:szCs w:val="24"/>
        </w:rPr>
        <w:tab/>
        <w:t>https://www.moex.com/ru/index/RUCBTRA2A/archive/</w:t>
      </w:r>
    </w:p>
    <w:p w14:paraId="0410E31C" w14:textId="77777777" w:rsidR="00E41AB9" w:rsidRPr="005C3E39" w:rsidRDefault="00E41AB9" w:rsidP="00E41AB9">
      <w:pPr>
        <w:numPr>
          <w:ilvl w:val="0"/>
          <w:numId w:val="8"/>
        </w:numPr>
        <w:spacing w:line="312" w:lineRule="auto"/>
        <w:contextualSpacing/>
        <w:jc w:val="both"/>
        <w:rPr>
          <w:rFonts w:eastAsia="Calibri"/>
          <w:szCs w:val="24"/>
        </w:rPr>
      </w:pPr>
      <w:r w:rsidRPr="005C3E39">
        <w:rPr>
          <w:rFonts w:eastAsia="Calibri"/>
          <w:szCs w:val="24"/>
        </w:rPr>
        <w:t xml:space="preserve">Индекс корпоративных облигаций (&gt;0,5 года, BB+(RU) ≤ рейтинг ≤ BBB+(RU)) </w:t>
      </w:r>
    </w:p>
    <w:p w14:paraId="16E55D40" w14:textId="77777777" w:rsidR="00E41AB9" w:rsidRPr="005C3E39" w:rsidRDefault="00E41AB9" w:rsidP="00E41AB9">
      <w:pPr>
        <w:spacing w:line="312" w:lineRule="auto"/>
        <w:ind w:firstLine="690"/>
        <w:contextualSpacing/>
        <w:jc w:val="both"/>
        <w:rPr>
          <w:rFonts w:eastAsia="Calibri"/>
          <w:szCs w:val="24"/>
        </w:rPr>
      </w:pPr>
      <w:r w:rsidRPr="005C3E39">
        <w:rPr>
          <w:rFonts w:eastAsia="Calibri"/>
          <w:szCs w:val="24"/>
        </w:rPr>
        <w:t>Тикер:</w:t>
      </w:r>
      <w:r w:rsidRPr="005C3E39">
        <w:rPr>
          <w:rFonts w:eastAsia="Calibri"/>
          <w:szCs w:val="24"/>
        </w:rPr>
        <w:tab/>
      </w:r>
      <w:r w:rsidRPr="005C3E39">
        <w:rPr>
          <w:rFonts w:eastAsia="Calibri"/>
          <w:szCs w:val="24"/>
        </w:rPr>
        <w:tab/>
      </w:r>
      <w:r w:rsidRPr="005C3E39">
        <w:rPr>
          <w:rFonts w:eastAsia="Calibri"/>
          <w:szCs w:val="24"/>
        </w:rPr>
        <w:tab/>
      </w:r>
      <w:r w:rsidRPr="005C3E39">
        <w:rPr>
          <w:rFonts w:eastAsia="Calibri"/>
          <w:b/>
          <w:szCs w:val="24"/>
        </w:rPr>
        <w:t>RUCBTR2B3B</w:t>
      </w:r>
    </w:p>
    <w:p w14:paraId="78371CF0" w14:textId="77777777" w:rsidR="00E41AB9" w:rsidRPr="005C3E39" w:rsidRDefault="00E41AB9" w:rsidP="00E41AB9">
      <w:pPr>
        <w:spacing w:line="312" w:lineRule="auto"/>
        <w:ind w:left="690"/>
        <w:contextualSpacing/>
        <w:jc w:val="both"/>
        <w:rPr>
          <w:rFonts w:eastAsia="Calibri"/>
          <w:szCs w:val="24"/>
        </w:rPr>
      </w:pPr>
      <w:r w:rsidRPr="005C3E39">
        <w:rPr>
          <w:rFonts w:eastAsia="Calibri"/>
          <w:szCs w:val="24"/>
        </w:rPr>
        <w:t>Описание индекса:</w:t>
      </w:r>
      <w:r w:rsidRPr="005C3E39">
        <w:rPr>
          <w:rFonts w:eastAsia="Calibri"/>
          <w:szCs w:val="24"/>
        </w:rPr>
        <w:tab/>
      </w:r>
      <w:r w:rsidRPr="005C3E39">
        <w:rPr>
          <w:rFonts w:eastAsia="Calibri"/>
          <w:szCs w:val="24"/>
        </w:rPr>
        <w:tab/>
        <w:t>https://www.moex.com/ru/index/RUCBTR2B3B</w:t>
      </w:r>
    </w:p>
    <w:p w14:paraId="755E2855" w14:textId="77777777" w:rsidR="00E41AB9" w:rsidRPr="005C3E39" w:rsidRDefault="00E41AB9" w:rsidP="00E41AB9">
      <w:pPr>
        <w:spacing w:line="312" w:lineRule="auto"/>
        <w:ind w:left="690"/>
        <w:contextualSpacing/>
        <w:jc w:val="both"/>
        <w:rPr>
          <w:rFonts w:eastAsia="Calibri"/>
          <w:szCs w:val="24"/>
        </w:rPr>
      </w:pPr>
      <w:r w:rsidRPr="005C3E39">
        <w:rPr>
          <w:rFonts w:eastAsia="Calibri"/>
          <w:szCs w:val="24"/>
        </w:rPr>
        <w:t>Архив значений:</w:t>
      </w:r>
      <w:r w:rsidRPr="005C3E39">
        <w:rPr>
          <w:rFonts w:eastAsia="Calibri"/>
          <w:szCs w:val="24"/>
        </w:rPr>
        <w:tab/>
      </w:r>
      <w:r w:rsidRPr="005C3E39">
        <w:rPr>
          <w:rFonts w:eastAsia="Calibri"/>
          <w:szCs w:val="24"/>
        </w:rPr>
        <w:tab/>
        <w:t>https://www.moex.com/ru/index/RUCBTR2B3B/archive/</w:t>
      </w:r>
    </w:p>
    <w:p w14:paraId="383E3C8A" w14:textId="77777777" w:rsidR="00E41AB9" w:rsidRPr="005C3E39" w:rsidRDefault="00E41AB9" w:rsidP="00E41AB9">
      <w:pPr>
        <w:spacing w:line="312" w:lineRule="auto"/>
        <w:jc w:val="both"/>
        <w:rPr>
          <w:rFonts w:eastAsia="Calibri"/>
          <w:szCs w:val="24"/>
        </w:rPr>
      </w:pPr>
    </w:p>
    <w:p w14:paraId="46A5571E" w14:textId="77777777" w:rsidR="00E41AB9" w:rsidRPr="005C3E39" w:rsidRDefault="00E41AB9" w:rsidP="00E41AB9">
      <w:pPr>
        <w:spacing w:line="312" w:lineRule="auto"/>
        <w:ind w:firstLine="690"/>
        <w:jc w:val="both"/>
        <w:rPr>
          <w:rFonts w:eastAsia="Calibri"/>
          <w:szCs w:val="24"/>
        </w:rPr>
      </w:pPr>
      <w:r w:rsidRPr="005C3E39">
        <w:rPr>
          <w:rFonts w:eastAsia="Calibri"/>
          <w:szCs w:val="24"/>
        </w:rPr>
        <w:t xml:space="preserve">Расчет медианного кредитного спреда для </w:t>
      </w:r>
      <w:r w:rsidRPr="005C3E39">
        <w:rPr>
          <w:rFonts w:eastAsia="Calibri"/>
          <w:szCs w:val="24"/>
          <w:lang w:val="en-US"/>
        </w:rPr>
        <w:t>I</w:t>
      </w:r>
      <w:r w:rsidRPr="005C3E39">
        <w:rPr>
          <w:rFonts w:eastAsia="Calibri"/>
          <w:szCs w:val="24"/>
        </w:rPr>
        <w:t xml:space="preserve">, </w:t>
      </w:r>
      <w:r w:rsidRPr="005C3E39">
        <w:rPr>
          <w:rFonts w:eastAsia="Calibri"/>
          <w:szCs w:val="24"/>
          <w:lang w:val="en-US"/>
        </w:rPr>
        <w:t>II</w:t>
      </w:r>
      <w:r w:rsidRPr="005C3E39">
        <w:rPr>
          <w:rFonts w:eastAsia="Calibri"/>
          <w:szCs w:val="24"/>
        </w:rPr>
        <w:t xml:space="preserve">, </w:t>
      </w:r>
      <w:r w:rsidRPr="005C3E39">
        <w:rPr>
          <w:rFonts w:eastAsia="Calibri"/>
          <w:szCs w:val="24"/>
          <w:lang w:val="en-US"/>
        </w:rPr>
        <w:t>III</w:t>
      </w:r>
      <w:r w:rsidRPr="005C3E39">
        <w:rPr>
          <w:rFonts w:eastAsia="Calibri"/>
          <w:szCs w:val="24"/>
        </w:rPr>
        <w:t xml:space="preserve"> рейтинговых групп осуществляется в следующем порядке</w:t>
      </w:r>
      <w:r w:rsidRPr="005C3E39">
        <w:rPr>
          <w:rStyle w:val="af1"/>
          <w:rFonts w:eastAsia="Calibri"/>
        </w:rPr>
        <w:footnoteReference w:id="2"/>
      </w:r>
      <w:r w:rsidRPr="005C3E39">
        <w:rPr>
          <w:rFonts w:eastAsia="Calibri"/>
          <w:szCs w:val="24"/>
        </w:rPr>
        <w:t>:</w:t>
      </w:r>
    </w:p>
    <w:p w14:paraId="500C03B2" w14:textId="77777777" w:rsidR="00E41AB9" w:rsidRPr="005C3E39" w:rsidRDefault="00E41AB9" w:rsidP="00E41AB9">
      <w:pPr>
        <w:spacing w:line="312" w:lineRule="auto"/>
        <w:contextualSpacing/>
        <w:jc w:val="both"/>
        <w:rPr>
          <w:rFonts w:eastAsia="Calibri"/>
          <w:b/>
          <w:szCs w:val="24"/>
          <w:u w:val="single"/>
        </w:rPr>
      </w:pPr>
      <w:r w:rsidRPr="005C3E39">
        <w:rPr>
          <w:rFonts w:eastAsia="Calibri"/>
          <w:b/>
          <w:szCs w:val="24"/>
          <w:u w:val="single"/>
        </w:rPr>
        <w:t xml:space="preserve">Рейтинговая группа </w:t>
      </w:r>
      <w:r w:rsidRPr="005C3E39">
        <w:rPr>
          <w:rFonts w:eastAsia="Calibri"/>
          <w:b/>
          <w:szCs w:val="24"/>
          <w:u w:val="single"/>
          <w:lang w:val="en-US"/>
        </w:rPr>
        <w:t>I</w:t>
      </w:r>
    </w:p>
    <w:p w14:paraId="77F6AFC8" w14:textId="77777777" w:rsidR="00E41AB9" w:rsidRPr="005C3E39" w:rsidRDefault="00E41AB9" w:rsidP="00E41AB9">
      <w:pPr>
        <w:spacing w:line="312" w:lineRule="auto"/>
        <w:ind w:firstLine="708"/>
        <w:jc w:val="both"/>
        <w:rPr>
          <w:rFonts w:eastAsia="Calibri"/>
          <w:b/>
          <w:szCs w:val="24"/>
        </w:rPr>
      </w:pPr>
      <w:r w:rsidRPr="005C3E39">
        <w:rPr>
          <w:rFonts w:eastAsia="Calibri"/>
          <w:szCs w:val="24"/>
        </w:rPr>
        <w:lastRenderedPageBreak/>
        <w:t xml:space="preserve">Рассчитывается кредитный спред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w:t>
      </w:r>
      <w:r w:rsidRPr="005C3E39">
        <w:rPr>
          <w:szCs w:val="24"/>
        </w:rPr>
        <w:t xml:space="preserve"> за каждый из 20 последних торговых дней:</w:t>
      </w:r>
      <w:r w:rsidRPr="005C3E39">
        <w:rPr>
          <w:rFonts w:eastAsia="Calibri"/>
          <w:b/>
          <w:szCs w:val="24"/>
        </w:rPr>
        <w:t xml:space="preserve"> </w:t>
      </w:r>
    </w:p>
    <w:p w14:paraId="4DC28FFB" w14:textId="77777777" w:rsidR="00E41AB9" w:rsidRPr="005C3E39" w:rsidRDefault="002B470C" w:rsidP="00E41AB9">
      <w:pPr>
        <w:spacing w:line="312" w:lineRule="auto"/>
        <w:ind w:firstLine="708"/>
        <w:jc w:val="both"/>
        <w:rPr>
          <w:szCs w:val="24"/>
          <w:lang w:val="en-US"/>
        </w:rPr>
      </w:pPr>
      <m:oMathPara>
        <m:oMath>
          <m:sSub>
            <m:sSubPr>
              <m:ctrlPr>
                <w:rPr>
                  <w:rFonts w:ascii="Cambria Math" w:hAnsi="Cambria Math"/>
                  <w:i/>
                  <w:szCs w:val="24"/>
                  <w:lang w:val="en-US"/>
                </w:rPr>
              </m:ctrlPr>
            </m:sSubPr>
            <m:e>
              <m:r>
                <w:rPr>
                  <w:rFonts w:ascii="Cambria Math" w:hAnsi="Cambria Math"/>
                  <w:szCs w:val="24"/>
                  <w:lang w:val="en-US"/>
                </w:rPr>
                <m:t>S</m:t>
              </m:r>
            </m:e>
            <m:sub>
              <m:r>
                <m:rPr>
                  <m:sty m:val="p"/>
                </m:rPr>
                <w:rPr>
                  <w:rFonts w:ascii="Cambria Math" w:hAnsi="Cambria Math"/>
                  <w:szCs w:val="24"/>
                </w:rPr>
                <m:t>РГ</m:t>
              </m:r>
              <m:r>
                <m:rPr>
                  <m:sty m:val="p"/>
                </m:rPr>
                <w:rPr>
                  <w:rFonts w:ascii="Cambria Math" w:hAnsi="Cambria Math"/>
                  <w:szCs w:val="24"/>
                  <w:lang w:val="en-US"/>
                </w:rPr>
                <m:t>I</m:t>
              </m:r>
            </m:sub>
          </m:sSub>
          <m:r>
            <w:rPr>
              <w:rFonts w:ascii="Cambria Math" w:hAnsi="Cambria Math"/>
              <w:szCs w:val="24"/>
              <w:lang w:val="en-US"/>
            </w:rPr>
            <m:t>=</m:t>
          </m:r>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Y</m:t>
                  </m:r>
                </m:e>
                <m:sub>
                  <m:r>
                    <m:rPr>
                      <m:sty m:val="p"/>
                    </m:rPr>
                    <w:rPr>
                      <w:rFonts w:ascii="Cambria Math" w:eastAsia="Calibri" w:hAnsi="Cambria Math"/>
                      <w:szCs w:val="24"/>
                      <w:vertAlign w:val="subscript"/>
                      <w:lang w:val="en-US"/>
                    </w:rPr>
                    <m:t>RUCBTRAAANS</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rPr>
                    <m:t>КБД</m:t>
                  </m:r>
                </m:e>
                <m:sub>
                  <m:r>
                    <m:rPr>
                      <m:sty m:val="p"/>
                    </m:rPr>
                    <w:rPr>
                      <w:rFonts w:ascii="Cambria Math" w:eastAsia="Calibri" w:hAnsi="Cambria Math"/>
                      <w:szCs w:val="24"/>
                      <w:vertAlign w:val="subscript"/>
                      <w:lang w:val="en-US"/>
                    </w:rPr>
                    <m:t>RUCBTRAAANS</m:t>
                  </m:r>
                </m:sub>
              </m:sSub>
            </m:e>
          </m:d>
          <m:r>
            <w:rPr>
              <w:rFonts w:ascii="Cambria Math" w:hAnsi="Cambria Math"/>
              <w:szCs w:val="24"/>
              <w:lang w:val="en-US"/>
            </w:rPr>
            <m:t>×100</m:t>
          </m:r>
          <m:r>
            <w:rPr>
              <w:rFonts w:ascii="Cambria Math" w:hAnsi="Cambria Math"/>
              <w:szCs w:val="24"/>
            </w:rPr>
            <m:t xml:space="preserve">,                                     </m:t>
          </m:r>
        </m:oMath>
      </m:oMathPara>
    </w:p>
    <w:p w14:paraId="3C1A61A2" w14:textId="77777777" w:rsidR="00E41AB9" w:rsidRPr="005C3E39" w:rsidRDefault="00E41AB9" w:rsidP="00E41AB9">
      <w:pPr>
        <w:spacing w:line="312" w:lineRule="auto"/>
        <w:jc w:val="both"/>
        <w:rPr>
          <w:szCs w:val="24"/>
        </w:rPr>
      </w:pPr>
      <w:r w:rsidRPr="005C3E39">
        <w:rPr>
          <w:szCs w:val="24"/>
        </w:rPr>
        <w:t>Где:</w:t>
      </w:r>
      <w:r w:rsidRPr="005C3E39">
        <w:rPr>
          <w:szCs w:val="24"/>
        </w:rPr>
        <w:tab/>
      </w:r>
      <w:r w:rsidRPr="005C3E39">
        <w:rPr>
          <w:szCs w:val="24"/>
        </w:rPr>
        <w:tab/>
      </w:r>
      <w:r w:rsidRPr="005C3E39">
        <w:rPr>
          <w:szCs w:val="24"/>
        </w:rPr>
        <w:tab/>
      </w:r>
      <w:r w:rsidRPr="005C3E39">
        <w:rPr>
          <w:szCs w:val="24"/>
        </w:rPr>
        <w:tab/>
      </w:r>
    </w:p>
    <w:p w14:paraId="5B204856"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lang w:val="en-US"/>
              </w:rPr>
              <m:t>S</m:t>
            </m:r>
          </m:e>
          <m:sub>
            <m:r>
              <m:rPr>
                <m:sty m:val="p"/>
              </m:rPr>
              <w:rPr>
                <w:rFonts w:ascii="Cambria Math" w:hAnsi="Cambria Math"/>
                <w:szCs w:val="24"/>
              </w:rPr>
              <m:t>РГ</m:t>
            </m:r>
            <m:r>
              <m:rPr>
                <m:sty m:val="p"/>
              </m:rPr>
              <w:rPr>
                <w:rFonts w:ascii="Cambria Math" w:hAnsi="Cambria Math"/>
                <w:szCs w:val="24"/>
                <w:lang w:val="en-US"/>
              </w:rPr>
              <m:t>I</m:t>
            </m:r>
          </m:sub>
        </m:sSub>
      </m:oMath>
      <w:r w:rsidR="00E41AB9" w:rsidRPr="005C3E39">
        <w:rPr>
          <w:szCs w:val="24"/>
        </w:rPr>
        <w:tab/>
      </w:r>
      <w:r w:rsidR="00E41AB9" w:rsidRPr="005C3E39">
        <w:rPr>
          <w:szCs w:val="24"/>
        </w:rPr>
        <w:tab/>
        <w:t xml:space="preserve">- </w:t>
      </w:r>
      <w:r w:rsidR="00E41AB9" w:rsidRPr="005C3E39">
        <w:rPr>
          <w:rFonts w:eastAsia="Calibri"/>
          <w:szCs w:val="24"/>
        </w:rPr>
        <w:t>значения спреда, рассчитанные в базисных пунктах;</w:t>
      </w:r>
    </w:p>
    <w:p w14:paraId="0083E5D6"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lang w:val="en-US"/>
              </w:rPr>
              <m:t>Y</m:t>
            </m:r>
          </m:e>
          <m:sub>
            <m:r>
              <m:rPr>
                <m:sty m:val="p"/>
              </m:rPr>
              <w:rPr>
                <w:rFonts w:ascii="Cambria Math" w:eastAsia="Calibri" w:hAnsi="Cambria Math"/>
                <w:szCs w:val="24"/>
                <w:vertAlign w:val="subscript"/>
                <w:lang w:val="en-US"/>
              </w:rPr>
              <m:t>RUCBTRAAANS</m:t>
            </m:r>
          </m:sub>
        </m:sSub>
      </m:oMath>
      <w:r w:rsidR="00E41AB9" w:rsidRPr="005C3E39">
        <w:rPr>
          <w:szCs w:val="24"/>
        </w:rPr>
        <w:tab/>
      </w:r>
      <w:r w:rsidR="00E41AB9" w:rsidRPr="005C3E39">
        <w:rPr>
          <w:szCs w:val="24"/>
        </w:rPr>
        <w:tab/>
        <w:t xml:space="preserve">- </w:t>
      </w:r>
      <w:r w:rsidR="00E41AB9" w:rsidRPr="005C3E39">
        <w:rPr>
          <w:rFonts w:eastAsia="Calibri"/>
          <w:szCs w:val="24"/>
        </w:rPr>
        <w:t>доходность индекса</w:t>
      </w:r>
      <w:r w:rsidR="00E41AB9" w:rsidRPr="005C3E39">
        <w:rPr>
          <w:szCs w:val="24"/>
        </w:rPr>
        <w:t xml:space="preserve"> </w:t>
      </w:r>
      <w:r w:rsidR="00E41AB9" w:rsidRPr="005C3E39">
        <w:rPr>
          <w:rFonts w:eastAsia="Calibri"/>
          <w:szCs w:val="24"/>
        </w:rPr>
        <w:t>RUCBTRAAANS, раскрытая Московской биржей</w:t>
      </w:r>
      <w:r w:rsidR="00E41AB9" w:rsidRPr="005C3E39">
        <w:rPr>
          <w:szCs w:val="24"/>
        </w:rPr>
        <w:t>;</w:t>
      </w:r>
    </w:p>
    <w:p w14:paraId="5F14E702" w14:textId="0D9E0669" w:rsidR="00E41AB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rPr>
              <m:t>КБД</m:t>
            </m:r>
          </m:e>
          <m:sub>
            <m:r>
              <m:rPr>
                <m:sty m:val="p"/>
              </m:rPr>
              <w:rPr>
                <w:rFonts w:ascii="Cambria Math" w:eastAsia="Calibri" w:hAnsi="Cambria Math"/>
                <w:szCs w:val="24"/>
                <w:vertAlign w:val="subscript"/>
                <w:lang w:val="en-US"/>
              </w:rPr>
              <m:t>RUCBTRAAANS</m:t>
            </m:r>
          </m:sub>
        </m:sSub>
      </m:oMath>
      <w:r w:rsidR="00E41AB9" w:rsidRPr="005C3E39">
        <w:rPr>
          <w:rFonts w:eastAsiaTheme="minorEastAsia"/>
          <w:szCs w:val="24"/>
        </w:rPr>
        <w:tab/>
      </w:r>
      <w:r w:rsidR="00E41AB9" w:rsidRPr="005C3E39">
        <w:rPr>
          <w:szCs w:val="24"/>
        </w:rPr>
        <w:t>- значение Ставки КБД в точке, соответствующей дюрации индекса</w:t>
      </w:r>
      <w:r w:rsidR="00E41AB9" w:rsidRPr="005C3E39">
        <w:rPr>
          <w:rFonts w:eastAsia="Calibri"/>
          <w:szCs w:val="24"/>
        </w:rPr>
        <w:t xml:space="preserve"> RUCBTRAAANS раскрытой Московской биржей</w:t>
      </w:r>
      <w:r w:rsidR="00E41AB9" w:rsidRPr="005C3E39">
        <w:rPr>
          <w:szCs w:val="24"/>
        </w:rPr>
        <w:t>.</w:t>
      </w:r>
    </w:p>
    <w:p w14:paraId="0268B022" w14:textId="0539AE7E" w:rsidR="009A7343" w:rsidRPr="005C3E39" w:rsidRDefault="009A7343" w:rsidP="00E41AB9">
      <w:pPr>
        <w:spacing w:line="312" w:lineRule="auto"/>
        <w:ind w:left="3533" w:hanging="2115"/>
        <w:jc w:val="both"/>
        <w:rPr>
          <w:szCs w:val="24"/>
        </w:rPr>
      </w:pPr>
      <w:r>
        <w:rPr>
          <w:rFonts w:eastAsia="Calibri"/>
          <w:szCs w:val="24"/>
        </w:rPr>
        <w:t>(</w:t>
      </w:r>
      <w:r w:rsidRPr="00F27FDA">
        <w:rPr>
          <w:rFonts w:eastAsia="Calibri"/>
          <w:szCs w:val="24"/>
        </w:rPr>
        <w:t xml:space="preserve">с точностью до </w:t>
      </w:r>
      <w:r>
        <w:rPr>
          <w:rFonts w:eastAsia="Calibri"/>
          <w:szCs w:val="24"/>
        </w:rPr>
        <w:t>2</w:t>
      </w:r>
      <w:r w:rsidRPr="00F27FDA">
        <w:rPr>
          <w:rFonts w:eastAsia="Calibri"/>
          <w:szCs w:val="24"/>
        </w:rPr>
        <w:t xml:space="preserve"> знаков после запятой с применением правил математического округления</w:t>
      </w:r>
      <w:r>
        <w:rPr>
          <w:rFonts w:eastAsia="Calibri"/>
          <w:szCs w:val="24"/>
        </w:rPr>
        <w:t>)</w:t>
      </w:r>
      <w:r w:rsidRPr="005C3E39">
        <w:rPr>
          <w:szCs w:val="24"/>
        </w:rPr>
        <w:t>.</w:t>
      </w:r>
    </w:p>
    <w:p w14:paraId="3FEF0E45" w14:textId="77777777" w:rsidR="00E41AB9" w:rsidRPr="005C3E39" w:rsidRDefault="00E41AB9" w:rsidP="00E41AB9">
      <w:pPr>
        <w:spacing w:line="312" w:lineRule="auto"/>
        <w:ind w:firstLine="708"/>
        <w:contextualSpacing/>
        <w:jc w:val="both"/>
        <w:rPr>
          <w:rFonts w:eastAsia="Calibri"/>
          <w:szCs w:val="24"/>
        </w:rPr>
      </w:pPr>
      <w:r w:rsidRPr="005C3E39">
        <w:rPr>
          <w:rFonts w:eastAsia="Calibri"/>
          <w:szCs w:val="24"/>
        </w:rPr>
        <w:t xml:space="preserve">Рассчитывается медианное значение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за последние 20 торговых дней (медиана из полученного ряда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w:t>
      </w:r>
      <w:r w:rsidRPr="005C3E39">
        <w:rPr>
          <w:rFonts w:eastAsia="Calibri"/>
          <w:szCs w:val="24"/>
        </w:rPr>
        <w:t xml:space="preserve">). </w:t>
      </w:r>
    </w:p>
    <w:p w14:paraId="51034A80" w14:textId="77777777" w:rsidR="00E41AB9" w:rsidRPr="005C3E39" w:rsidRDefault="00E41AB9" w:rsidP="00E41AB9">
      <w:pPr>
        <w:spacing w:line="312" w:lineRule="auto"/>
        <w:ind w:firstLine="708"/>
        <w:jc w:val="both"/>
        <w:rPr>
          <w:rFonts w:eastAsia="Calibri"/>
          <w:szCs w:val="24"/>
        </w:rPr>
      </w:pPr>
      <w:r w:rsidRPr="005C3E39">
        <w:rPr>
          <w:rFonts w:eastAsia="Calibri"/>
          <w:szCs w:val="24"/>
        </w:rPr>
        <w:t xml:space="preserve">При расчете медианного значения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b/>
          <w:szCs w:val="24"/>
        </w:rPr>
        <w:t xml:space="preserve"> </w:t>
      </w:r>
      <w:r w:rsidRPr="005C3E39">
        <w:rPr>
          <w:rFonts w:eastAsia="Calibri"/>
          <w:szCs w:val="24"/>
        </w:rPr>
        <w:t xml:space="preserve">промежуточные округления значений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w:t>
      </w:r>
      <w:r w:rsidRPr="005C3E39">
        <w:rPr>
          <w:rFonts w:eastAsia="Calibri"/>
          <w:szCs w:val="24"/>
        </w:rPr>
        <w:t xml:space="preserve"> не производятся. Полученное медианное значение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округляется по правилам математического округления до целого значения базисных пунктов.</w:t>
      </w:r>
    </w:p>
    <w:p w14:paraId="064DFDC0" w14:textId="77777777" w:rsidR="00E41AB9" w:rsidRPr="005C3E39" w:rsidRDefault="00E41AB9" w:rsidP="00E41AB9">
      <w:pPr>
        <w:spacing w:line="312" w:lineRule="auto"/>
        <w:contextualSpacing/>
        <w:jc w:val="both"/>
        <w:rPr>
          <w:rFonts w:eastAsia="Calibri"/>
          <w:b/>
          <w:szCs w:val="24"/>
          <w:u w:val="single"/>
        </w:rPr>
      </w:pPr>
      <w:r w:rsidRPr="005C3E39">
        <w:rPr>
          <w:rFonts w:eastAsia="Calibri"/>
          <w:b/>
          <w:szCs w:val="24"/>
          <w:u w:val="single"/>
        </w:rPr>
        <w:t xml:space="preserve">Рейтинговая группа </w:t>
      </w:r>
      <w:r w:rsidRPr="005C3E39">
        <w:rPr>
          <w:rFonts w:eastAsia="Calibri"/>
          <w:b/>
          <w:szCs w:val="24"/>
          <w:u w:val="single"/>
          <w:lang w:val="en-US"/>
        </w:rPr>
        <w:t>II</w:t>
      </w:r>
    </w:p>
    <w:p w14:paraId="790C5BC7" w14:textId="77777777" w:rsidR="00E41AB9" w:rsidRPr="005C3E39" w:rsidRDefault="00E41AB9" w:rsidP="00E41AB9">
      <w:pPr>
        <w:spacing w:line="312" w:lineRule="auto"/>
        <w:ind w:firstLine="708"/>
        <w:contextualSpacing/>
        <w:jc w:val="both"/>
        <w:rPr>
          <w:rFonts w:eastAsia="Calibri"/>
          <w:b/>
          <w:szCs w:val="24"/>
        </w:rPr>
      </w:pPr>
      <w:r w:rsidRPr="005C3E39">
        <w:rPr>
          <w:rFonts w:eastAsia="Calibri"/>
          <w:szCs w:val="24"/>
        </w:rPr>
        <w:t xml:space="preserve">Рассчитывается кредитный спред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II</w:t>
      </w:r>
      <w:r w:rsidRPr="005C3E39">
        <w:rPr>
          <w:szCs w:val="24"/>
        </w:rPr>
        <w:t xml:space="preserve"> за каждый из 20 последних торговых дней:</w:t>
      </w:r>
      <w:r w:rsidRPr="005C3E39">
        <w:rPr>
          <w:rFonts w:eastAsia="Calibri"/>
          <w:b/>
          <w:szCs w:val="24"/>
        </w:rPr>
        <w:t xml:space="preserve"> </w:t>
      </w:r>
    </w:p>
    <w:p w14:paraId="6A29E7DD" w14:textId="77777777" w:rsidR="00E41AB9" w:rsidRPr="005C3E39" w:rsidRDefault="002B470C" w:rsidP="00E41AB9">
      <w:pPr>
        <w:spacing w:line="312" w:lineRule="auto"/>
        <w:jc w:val="both"/>
        <w:rPr>
          <w:szCs w:val="24"/>
          <w:lang w:val="en-US"/>
        </w:rPr>
      </w:pPr>
      <m:oMathPara>
        <m:oMath>
          <m:sSub>
            <m:sSubPr>
              <m:ctrlPr>
                <w:rPr>
                  <w:rFonts w:ascii="Cambria Math" w:hAnsi="Cambria Math"/>
                  <w:i/>
                  <w:szCs w:val="24"/>
                  <w:lang w:val="en-US"/>
                </w:rPr>
              </m:ctrlPr>
            </m:sSubPr>
            <m:e>
              <m:r>
                <w:rPr>
                  <w:rFonts w:ascii="Cambria Math" w:hAnsi="Cambria Math"/>
                  <w:szCs w:val="24"/>
                  <w:lang w:val="en-US"/>
                </w:rPr>
                <m:t>S</m:t>
              </m:r>
            </m:e>
            <m:sub>
              <m:r>
                <m:rPr>
                  <m:sty m:val="p"/>
                </m:rPr>
                <w:rPr>
                  <w:rFonts w:ascii="Cambria Math" w:hAnsi="Cambria Math"/>
                  <w:szCs w:val="24"/>
                </w:rPr>
                <m:t>РГI</m:t>
              </m:r>
              <m:r>
                <m:rPr>
                  <m:sty m:val="p"/>
                </m:rPr>
                <w:rPr>
                  <w:rFonts w:ascii="Cambria Math" w:hAnsi="Cambria Math"/>
                  <w:szCs w:val="24"/>
                  <w:lang w:val="en-US"/>
                </w:rPr>
                <m:t>I</m:t>
              </m:r>
            </m:sub>
          </m:sSub>
          <m:r>
            <w:rPr>
              <w:rFonts w:ascii="Cambria Math" w:hAnsi="Cambria Math"/>
              <w:szCs w:val="24"/>
              <w:lang w:val="en-US"/>
            </w:rPr>
            <m:t>=</m:t>
          </m:r>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Y</m:t>
                  </m:r>
                </m:e>
                <m:sub>
                  <m:r>
                    <m:rPr>
                      <m:sty m:val="p"/>
                    </m:rPr>
                    <w:rPr>
                      <w:rFonts w:ascii="Cambria Math" w:eastAsia="Calibri" w:hAnsi="Cambria Math"/>
                      <w:szCs w:val="24"/>
                    </w:rPr>
                    <m:t>RUCBTRA2A</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rPr>
                    <m:t>КБД</m:t>
                  </m:r>
                </m:e>
                <m:sub>
                  <m:r>
                    <m:rPr>
                      <m:sty m:val="p"/>
                    </m:rPr>
                    <w:rPr>
                      <w:rFonts w:ascii="Cambria Math" w:eastAsia="Calibri" w:hAnsi="Cambria Math"/>
                      <w:szCs w:val="24"/>
                    </w:rPr>
                    <m:t>RUCBTRA2A</m:t>
                  </m:r>
                </m:sub>
              </m:sSub>
            </m:e>
          </m:d>
          <m:r>
            <w:rPr>
              <w:rFonts w:ascii="Cambria Math" w:hAnsi="Cambria Math"/>
              <w:szCs w:val="24"/>
              <w:lang w:val="en-US"/>
            </w:rPr>
            <m:t>×100</m:t>
          </m:r>
          <m:r>
            <w:rPr>
              <w:rFonts w:ascii="Cambria Math" w:hAnsi="Cambria Math"/>
              <w:szCs w:val="24"/>
            </w:rPr>
            <m:t xml:space="preserve">,                                     </m:t>
          </m:r>
        </m:oMath>
      </m:oMathPara>
    </w:p>
    <w:p w14:paraId="64B0EBD0" w14:textId="77777777" w:rsidR="00E41AB9" w:rsidRPr="005C3E39" w:rsidRDefault="00E41AB9" w:rsidP="00E41AB9">
      <w:pPr>
        <w:spacing w:line="312" w:lineRule="auto"/>
        <w:jc w:val="both"/>
        <w:rPr>
          <w:szCs w:val="24"/>
        </w:rPr>
      </w:pPr>
      <w:r w:rsidRPr="005C3E39">
        <w:rPr>
          <w:szCs w:val="24"/>
        </w:rPr>
        <w:t>Где:</w:t>
      </w:r>
      <w:r w:rsidRPr="005C3E39">
        <w:rPr>
          <w:szCs w:val="24"/>
        </w:rPr>
        <w:tab/>
      </w:r>
      <w:r w:rsidRPr="005C3E39">
        <w:rPr>
          <w:szCs w:val="24"/>
        </w:rPr>
        <w:tab/>
      </w:r>
      <w:r w:rsidRPr="005C3E39">
        <w:rPr>
          <w:szCs w:val="24"/>
        </w:rPr>
        <w:tab/>
      </w:r>
      <w:r w:rsidRPr="005C3E39">
        <w:rPr>
          <w:szCs w:val="24"/>
        </w:rPr>
        <w:tab/>
      </w:r>
    </w:p>
    <w:p w14:paraId="7253854B"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lang w:val="en-US"/>
              </w:rPr>
              <m:t>S</m:t>
            </m:r>
          </m:e>
          <m:sub>
            <m:r>
              <m:rPr>
                <m:sty m:val="p"/>
              </m:rPr>
              <w:rPr>
                <w:rFonts w:ascii="Cambria Math" w:hAnsi="Cambria Math"/>
                <w:szCs w:val="24"/>
              </w:rPr>
              <m:t>РГ</m:t>
            </m:r>
            <m:r>
              <m:rPr>
                <m:sty m:val="p"/>
              </m:rPr>
              <w:rPr>
                <w:rFonts w:ascii="Cambria Math" w:hAnsi="Cambria Math"/>
                <w:szCs w:val="24"/>
                <w:lang w:val="en-US"/>
              </w:rPr>
              <m:t>II</m:t>
            </m:r>
          </m:sub>
        </m:sSub>
      </m:oMath>
      <w:r w:rsidR="00E41AB9" w:rsidRPr="005C3E39">
        <w:rPr>
          <w:szCs w:val="24"/>
        </w:rPr>
        <w:tab/>
      </w:r>
      <w:r w:rsidR="00E41AB9" w:rsidRPr="005C3E39">
        <w:rPr>
          <w:szCs w:val="24"/>
        </w:rPr>
        <w:tab/>
        <w:t xml:space="preserve">- </w:t>
      </w:r>
      <w:r w:rsidR="00E41AB9" w:rsidRPr="005C3E39">
        <w:rPr>
          <w:rFonts w:eastAsia="Calibri"/>
          <w:szCs w:val="24"/>
        </w:rPr>
        <w:t>значения спреда, рассчитанные в базисных пунктах;</w:t>
      </w:r>
    </w:p>
    <w:p w14:paraId="092D7C52"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lang w:val="en-US"/>
              </w:rPr>
              <m:t>Y</m:t>
            </m:r>
          </m:e>
          <m:sub>
            <m:r>
              <m:rPr>
                <m:sty m:val="p"/>
              </m:rPr>
              <w:rPr>
                <w:rFonts w:ascii="Cambria Math" w:eastAsia="Calibri" w:hAnsi="Cambria Math"/>
                <w:szCs w:val="24"/>
              </w:rPr>
              <m:t>RUCBTRA2A</m:t>
            </m:r>
          </m:sub>
        </m:sSub>
      </m:oMath>
      <w:r w:rsidR="00E41AB9" w:rsidRPr="005C3E39">
        <w:rPr>
          <w:szCs w:val="24"/>
        </w:rPr>
        <w:tab/>
      </w:r>
      <w:r w:rsidR="00E41AB9" w:rsidRPr="005C3E39">
        <w:rPr>
          <w:szCs w:val="24"/>
        </w:rPr>
        <w:tab/>
        <w:t xml:space="preserve">- </w:t>
      </w:r>
      <w:r w:rsidR="00E41AB9" w:rsidRPr="005C3E39">
        <w:rPr>
          <w:rFonts w:eastAsia="Calibri"/>
          <w:szCs w:val="24"/>
        </w:rPr>
        <w:t>доходность индекса</w:t>
      </w:r>
      <w:r w:rsidR="00E41AB9" w:rsidRPr="005C3E39">
        <w:rPr>
          <w:szCs w:val="24"/>
        </w:rPr>
        <w:t xml:space="preserve"> </w:t>
      </w:r>
      <w:r w:rsidR="00E41AB9" w:rsidRPr="005C3E39">
        <w:rPr>
          <w:rFonts w:eastAsia="Calibri"/>
          <w:szCs w:val="24"/>
        </w:rPr>
        <w:t>RUCBTRA2A, раскрытая Московской биржей</w:t>
      </w:r>
      <w:r w:rsidR="00E41AB9" w:rsidRPr="005C3E39">
        <w:rPr>
          <w:szCs w:val="24"/>
        </w:rPr>
        <w:t>;</w:t>
      </w:r>
    </w:p>
    <w:p w14:paraId="310702D2" w14:textId="10E7DCB7" w:rsidR="00E41AB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rPr>
              <m:t>КБД</m:t>
            </m:r>
          </m:e>
          <m:sub>
            <m:r>
              <m:rPr>
                <m:sty m:val="p"/>
              </m:rPr>
              <w:rPr>
                <w:rFonts w:ascii="Cambria Math" w:eastAsia="Calibri" w:hAnsi="Cambria Math"/>
                <w:szCs w:val="24"/>
                <w:vertAlign w:val="subscript"/>
                <w:lang w:val="en-US"/>
              </w:rPr>
              <m:t>RUCBTRA</m:t>
            </m:r>
            <m:r>
              <m:rPr>
                <m:sty m:val="p"/>
              </m:rPr>
              <w:rPr>
                <w:rFonts w:ascii="Cambria Math" w:eastAsia="Calibri" w:hAnsi="Cambria Math"/>
                <w:szCs w:val="24"/>
                <w:vertAlign w:val="subscript"/>
              </w:rPr>
              <m:t>2</m:t>
            </m:r>
            <m:r>
              <m:rPr>
                <m:sty m:val="p"/>
              </m:rPr>
              <w:rPr>
                <w:rFonts w:ascii="Cambria Math" w:eastAsia="Calibri" w:hAnsi="Cambria Math"/>
                <w:szCs w:val="24"/>
                <w:vertAlign w:val="subscript"/>
                <w:lang w:val="en-US"/>
              </w:rPr>
              <m:t>A</m:t>
            </m:r>
          </m:sub>
        </m:sSub>
      </m:oMath>
      <w:r w:rsidR="00E41AB9" w:rsidRPr="005C3E39">
        <w:rPr>
          <w:rFonts w:eastAsiaTheme="minorEastAsia"/>
          <w:szCs w:val="24"/>
        </w:rPr>
        <w:tab/>
      </w:r>
      <w:r w:rsidR="00E41AB9" w:rsidRPr="005C3E39">
        <w:rPr>
          <w:szCs w:val="24"/>
        </w:rPr>
        <w:t>- значение Ставки КБД в точке, соответствующей дюрации индекса</w:t>
      </w:r>
      <w:r w:rsidR="00E41AB9" w:rsidRPr="005C3E39">
        <w:rPr>
          <w:rFonts w:eastAsia="Calibri"/>
          <w:szCs w:val="24"/>
        </w:rPr>
        <w:t xml:space="preserve"> RUCBTRA2A раскрытой Московской биржей</w:t>
      </w:r>
      <w:r w:rsidR="00E41AB9" w:rsidRPr="005C3E39">
        <w:rPr>
          <w:szCs w:val="24"/>
        </w:rPr>
        <w:t>.</w:t>
      </w:r>
    </w:p>
    <w:p w14:paraId="2A0B00C9" w14:textId="0329DEFA" w:rsidR="009A7343" w:rsidRPr="005C3E39" w:rsidRDefault="009A7343" w:rsidP="00E41AB9">
      <w:pPr>
        <w:spacing w:line="312" w:lineRule="auto"/>
        <w:ind w:left="3533" w:hanging="2115"/>
        <w:jc w:val="both"/>
        <w:rPr>
          <w:szCs w:val="24"/>
        </w:rPr>
      </w:pPr>
      <w:r>
        <w:rPr>
          <w:rFonts w:eastAsia="Calibri"/>
          <w:szCs w:val="24"/>
        </w:rPr>
        <w:t>(</w:t>
      </w:r>
      <w:r w:rsidRPr="00F27FDA">
        <w:rPr>
          <w:rFonts w:eastAsia="Calibri"/>
          <w:szCs w:val="24"/>
        </w:rPr>
        <w:t xml:space="preserve">с точностью до </w:t>
      </w:r>
      <w:r>
        <w:rPr>
          <w:rFonts w:eastAsia="Calibri"/>
          <w:szCs w:val="24"/>
        </w:rPr>
        <w:t>2</w:t>
      </w:r>
      <w:r w:rsidRPr="00F27FDA">
        <w:rPr>
          <w:rFonts w:eastAsia="Calibri"/>
          <w:szCs w:val="24"/>
        </w:rPr>
        <w:t xml:space="preserve"> знаков после запятой с применением правил математического округления</w:t>
      </w:r>
      <w:r>
        <w:rPr>
          <w:rFonts w:eastAsia="Calibri"/>
          <w:szCs w:val="24"/>
        </w:rPr>
        <w:t>)</w:t>
      </w:r>
      <w:r w:rsidRPr="005C3E39">
        <w:rPr>
          <w:szCs w:val="24"/>
        </w:rPr>
        <w:t>.</w:t>
      </w:r>
    </w:p>
    <w:p w14:paraId="7504127E" w14:textId="77777777" w:rsidR="00E41AB9" w:rsidRPr="005C3E39" w:rsidRDefault="00E41AB9" w:rsidP="00E41AB9">
      <w:pPr>
        <w:spacing w:line="312" w:lineRule="auto"/>
        <w:ind w:firstLine="708"/>
        <w:contextualSpacing/>
        <w:jc w:val="both"/>
        <w:rPr>
          <w:rFonts w:eastAsia="Calibri"/>
          <w:szCs w:val="24"/>
        </w:rPr>
      </w:pPr>
      <w:r w:rsidRPr="005C3E39">
        <w:rPr>
          <w:rFonts w:eastAsia="Calibri"/>
          <w:szCs w:val="24"/>
        </w:rPr>
        <w:t xml:space="preserve">Рассчитывается медианное значение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за последние 20 торговых дней (медиана из полученного ряда</w:t>
      </w:r>
      <w:r w:rsidRPr="005C3E39">
        <w:rPr>
          <w:rFonts w:eastAsia="Calibri"/>
          <w:b/>
          <w:szCs w:val="24"/>
        </w:rPr>
        <w:t xml:space="preserve">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II</w:t>
      </w:r>
      <w:r w:rsidRPr="005C3E39">
        <w:rPr>
          <w:rFonts w:eastAsia="Calibri"/>
          <w:szCs w:val="24"/>
        </w:rPr>
        <w:t xml:space="preserve">). </w:t>
      </w:r>
    </w:p>
    <w:p w14:paraId="384674AB" w14:textId="77777777" w:rsidR="00E41AB9" w:rsidRPr="005C3E39" w:rsidRDefault="00E41AB9" w:rsidP="00E41AB9">
      <w:pPr>
        <w:spacing w:line="312" w:lineRule="auto"/>
        <w:ind w:firstLine="708"/>
        <w:jc w:val="both"/>
        <w:rPr>
          <w:rFonts w:eastAsia="Calibri"/>
          <w:szCs w:val="24"/>
        </w:rPr>
      </w:pPr>
      <w:r w:rsidRPr="005C3E39">
        <w:rPr>
          <w:rFonts w:eastAsia="Calibri"/>
          <w:szCs w:val="24"/>
        </w:rPr>
        <w:t xml:space="preserve">При расчете значения медианного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промежуточные округления значений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II</w:t>
      </w:r>
      <w:r w:rsidRPr="005C3E39">
        <w:rPr>
          <w:rFonts w:eastAsia="Calibri"/>
          <w:szCs w:val="24"/>
        </w:rPr>
        <w:t xml:space="preserve"> не производятся. Полученное медианное значение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округляется по правилам математического округления до целого значения базисных пунктов.</w:t>
      </w:r>
    </w:p>
    <w:p w14:paraId="01F69892" w14:textId="77777777" w:rsidR="00E41AB9" w:rsidRPr="005C3E39" w:rsidRDefault="00E41AB9" w:rsidP="00E41AB9">
      <w:pPr>
        <w:spacing w:line="312" w:lineRule="auto"/>
        <w:jc w:val="both"/>
        <w:rPr>
          <w:rFonts w:eastAsia="Calibri"/>
          <w:b/>
          <w:szCs w:val="24"/>
          <w:u w:val="single"/>
        </w:rPr>
      </w:pPr>
      <w:r w:rsidRPr="005C3E39">
        <w:rPr>
          <w:rFonts w:eastAsia="Calibri"/>
          <w:b/>
          <w:szCs w:val="24"/>
          <w:u w:val="single"/>
        </w:rPr>
        <w:t xml:space="preserve">Рейтинговая группа </w:t>
      </w:r>
      <w:r w:rsidRPr="005C3E39">
        <w:rPr>
          <w:rFonts w:eastAsia="Calibri"/>
          <w:b/>
          <w:szCs w:val="24"/>
          <w:u w:val="single"/>
          <w:lang w:val="en-US"/>
        </w:rPr>
        <w:t>III</w:t>
      </w:r>
    </w:p>
    <w:p w14:paraId="6C47C159" w14:textId="77777777" w:rsidR="00E41AB9" w:rsidRPr="005C3E39" w:rsidRDefault="00E41AB9" w:rsidP="00E41AB9">
      <w:pPr>
        <w:spacing w:line="312" w:lineRule="auto"/>
        <w:ind w:firstLine="708"/>
        <w:jc w:val="both"/>
        <w:rPr>
          <w:szCs w:val="24"/>
        </w:rPr>
      </w:pPr>
      <w:r w:rsidRPr="005C3E39">
        <w:rPr>
          <w:rFonts w:eastAsia="Calibri"/>
          <w:szCs w:val="24"/>
        </w:rPr>
        <w:t xml:space="preserve">Рассчитывается кредитный спред </w:t>
      </w:r>
      <w:r w:rsidRPr="005C3E39">
        <w:rPr>
          <w:rFonts w:eastAsia="Calibri"/>
          <w:b/>
          <w:szCs w:val="24"/>
          <w:lang w:val="en-US"/>
        </w:rPr>
        <w:t>S</w:t>
      </w:r>
      <w:r w:rsidRPr="005C3E39">
        <w:rPr>
          <w:rFonts w:eastAsia="Calibri"/>
          <w:b/>
          <w:szCs w:val="24"/>
          <w:vertAlign w:val="subscript"/>
        </w:rPr>
        <w:t>РГШ</w:t>
      </w:r>
      <w:r w:rsidRPr="005C3E39">
        <w:rPr>
          <w:szCs w:val="24"/>
        </w:rPr>
        <w:t xml:space="preserve"> за каждый из 20 последних торговых дней:</w:t>
      </w:r>
    </w:p>
    <w:p w14:paraId="17D168E6" w14:textId="77777777" w:rsidR="00E41AB9" w:rsidRPr="005C3E39" w:rsidRDefault="002B470C" w:rsidP="00E41AB9">
      <w:pPr>
        <w:spacing w:line="312" w:lineRule="auto"/>
        <w:jc w:val="both"/>
        <w:rPr>
          <w:szCs w:val="24"/>
          <w:lang w:val="en-US"/>
        </w:rPr>
      </w:pPr>
      <m:oMathPara>
        <m:oMath>
          <m:sSub>
            <m:sSubPr>
              <m:ctrlPr>
                <w:rPr>
                  <w:rFonts w:ascii="Cambria Math" w:hAnsi="Cambria Math"/>
                  <w:i/>
                  <w:szCs w:val="24"/>
                  <w:lang w:val="en-US"/>
                </w:rPr>
              </m:ctrlPr>
            </m:sSubPr>
            <m:e>
              <m:r>
                <w:rPr>
                  <w:rFonts w:ascii="Cambria Math" w:hAnsi="Cambria Math"/>
                  <w:szCs w:val="24"/>
                  <w:lang w:val="en-US"/>
                </w:rPr>
                <m:t>S</m:t>
              </m:r>
            </m:e>
            <m:sub>
              <m:r>
                <m:rPr>
                  <m:sty m:val="p"/>
                </m:rPr>
                <w:rPr>
                  <w:rFonts w:ascii="Cambria Math" w:hAnsi="Cambria Math"/>
                  <w:szCs w:val="24"/>
                </w:rPr>
                <m:t>РГII</m:t>
              </m:r>
              <m:r>
                <m:rPr>
                  <m:sty m:val="p"/>
                </m:rPr>
                <w:rPr>
                  <w:rFonts w:ascii="Cambria Math" w:hAnsi="Cambria Math"/>
                  <w:szCs w:val="24"/>
                  <w:lang w:val="en-US"/>
                </w:rPr>
                <m:t>I</m:t>
              </m:r>
            </m:sub>
          </m:sSub>
          <m:r>
            <w:rPr>
              <w:rFonts w:ascii="Cambria Math" w:hAnsi="Cambria Math"/>
              <w:szCs w:val="24"/>
              <w:lang w:val="en-US"/>
            </w:rPr>
            <m:t>=</m:t>
          </m:r>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Y</m:t>
                  </m:r>
                </m:e>
                <m:sub>
                  <m:r>
                    <m:rPr>
                      <m:sty m:val="p"/>
                    </m:rPr>
                    <w:rPr>
                      <w:rFonts w:ascii="Cambria Math" w:eastAsia="Calibri" w:hAnsi="Cambria Math"/>
                      <w:szCs w:val="24"/>
                    </w:rPr>
                    <m:t>RUCBTR2B3B</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rPr>
                    <m:t>КБД</m:t>
                  </m:r>
                </m:e>
                <m:sub>
                  <m:r>
                    <m:rPr>
                      <m:sty m:val="p"/>
                    </m:rPr>
                    <w:rPr>
                      <w:rFonts w:ascii="Cambria Math" w:eastAsia="Calibri" w:hAnsi="Cambria Math"/>
                      <w:szCs w:val="24"/>
                    </w:rPr>
                    <m:t>RUCBTR2B3B</m:t>
                  </m:r>
                </m:sub>
              </m:sSub>
            </m:e>
          </m:d>
          <m:r>
            <w:rPr>
              <w:rFonts w:ascii="Cambria Math" w:hAnsi="Cambria Math"/>
              <w:szCs w:val="24"/>
              <w:lang w:val="en-US"/>
            </w:rPr>
            <m:t>×100</m:t>
          </m:r>
          <m:r>
            <w:rPr>
              <w:rFonts w:ascii="Cambria Math" w:hAnsi="Cambria Math"/>
              <w:szCs w:val="24"/>
            </w:rPr>
            <m:t xml:space="preserve">,                                    </m:t>
          </m:r>
        </m:oMath>
      </m:oMathPara>
    </w:p>
    <w:p w14:paraId="57B209CF" w14:textId="77777777" w:rsidR="00E41AB9" w:rsidRPr="005C3E39" w:rsidRDefault="00E41AB9" w:rsidP="00E41AB9">
      <w:pPr>
        <w:spacing w:line="312" w:lineRule="auto"/>
        <w:jc w:val="both"/>
        <w:rPr>
          <w:szCs w:val="24"/>
        </w:rPr>
      </w:pPr>
      <w:r w:rsidRPr="005C3E39">
        <w:rPr>
          <w:szCs w:val="24"/>
        </w:rPr>
        <w:t>Где:</w:t>
      </w:r>
      <w:r w:rsidRPr="005C3E39">
        <w:rPr>
          <w:szCs w:val="24"/>
        </w:rPr>
        <w:tab/>
      </w:r>
      <w:r w:rsidRPr="005C3E39">
        <w:rPr>
          <w:szCs w:val="24"/>
        </w:rPr>
        <w:tab/>
      </w:r>
      <w:r w:rsidRPr="005C3E39">
        <w:rPr>
          <w:szCs w:val="24"/>
        </w:rPr>
        <w:tab/>
      </w:r>
      <w:r w:rsidRPr="005C3E39">
        <w:rPr>
          <w:szCs w:val="24"/>
        </w:rPr>
        <w:tab/>
      </w:r>
    </w:p>
    <w:p w14:paraId="642F2443"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lang w:val="en-US"/>
              </w:rPr>
              <m:t>S</m:t>
            </m:r>
          </m:e>
          <m:sub>
            <m:r>
              <m:rPr>
                <m:sty m:val="p"/>
              </m:rPr>
              <w:rPr>
                <w:rFonts w:ascii="Cambria Math" w:hAnsi="Cambria Math"/>
                <w:szCs w:val="24"/>
              </w:rPr>
              <m:t>РГ</m:t>
            </m:r>
            <m:r>
              <m:rPr>
                <m:sty m:val="p"/>
              </m:rPr>
              <w:rPr>
                <w:rFonts w:ascii="Cambria Math" w:hAnsi="Cambria Math"/>
                <w:szCs w:val="24"/>
                <w:lang w:val="en-US"/>
              </w:rPr>
              <m:t>III</m:t>
            </m:r>
          </m:sub>
        </m:sSub>
      </m:oMath>
      <w:r w:rsidR="00E41AB9" w:rsidRPr="005C3E39">
        <w:rPr>
          <w:szCs w:val="24"/>
        </w:rPr>
        <w:tab/>
      </w:r>
      <w:r w:rsidR="00E41AB9" w:rsidRPr="005C3E39">
        <w:rPr>
          <w:szCs w:val="24"/>
        </w:rPr>
        <w:tab/>
        <w:t xml:space="preserve">- </w:t>
      </w:r>
      <w:r w:rsidR="00E41AB9" w:rsidRPr="005C3E39">
        <w:rPr>
          <w:rFonts w:eastAsia="Calibri"/>
          <w:szCs w:val="24"/>
        </w:rPr>
        <w:t>значения спреда, рассчитанные в базисных пунктах;</w:t>
      </w:r>
    </w:p>
    <w:p w14:paraId="7F8F04EA"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lang w:val="en-US"/>
              </w:rPr>
              <m:t>Y</m:t>
            </m:r>
          </m:e>
          <m:sub>
            <m:r>
              <m:rPr>
                <m:sty m:val="p"/>
              </m:rPr>
              <w:rPr>
                <w:rFonts w:ascii="Cambria Math" w:eastAsia="Calibri" w:hAnsi="Cambria Math"/>
                <w:szCs w:val="24"/>
              </w:rPr>
              <m:t>RUCBTR2B3B</m:t>
            </m:r>
          </m:sub>
        </m:sSub>
      </m:oMath>
      <w:r w:rsidR="00E41AB9" w:rsidRPr="005C3E39">
        <w:rPr>
          <w:szCs w:val="24"/>
        </w:rPr>
        <w:tab/>
      </w:r>
      <w:r w:rsidR="00E41AB9" w:rsidRPr="005C3E39">
        <w:rPr>
          <w:szCs w:val="24"/>
        </w:rPr>
        <w:tab/>
        <w:t xml:space="preserve">- </w:t>
      </w:r>
      <w:r w:rsidR="00E41AB9" w:rsidRPr="005C3E39">
        <w:rPr>
          <w:rFonts w:eastAsia="Calibri"/>
          <w:szCs w:val="24"/>
        </w:rPr>
        <w:t>доходность индекса</w:t>
      </w:r>
      <w:r w:rsidR="00E41AB9" w:rsidRPr="005C3E39">
        <w:rPr>
          <w:szCs w:val="24"/>
        </w:rPr>
        <w:t xml:space="preserve"> </w:t>
      </w:r>
      <w:r w:rsidR="00E41AB9" w:rsidRPr="005C3E39">
        <w:rPr>
          <w:rFonts w:eastAsia="Calibri"/>
          <w:szCs w:val="24"/>
        </w:rPr>
        <w:t>RUCBTR2B3B, раскрытая Московской биржей</w:t>
      </w:r>
      <w:r w:rsidR="00E41AB9" w:rsidRPr="005C3E39">
        <w:rPr>
          <w:szCs w:val="24"/>
        </w:rPr>
        <w:t>;</w:t>
      </w:r>
    </w:p>
    <w:p w14:paraId="2CBC7866" w14:textId="785BBE46" w:rsidR="00E41AB9" w:rsidRDefault="002B470C" w:rsidP="00E41AB9">
      <w:pPr>
        <w:spacing w:line="312" w:lineRule="auto"/>
        <w:ind w:left="3533" w:hanging="2115"/>
        <w:jc w:val="both"/>
        <w:rPr>
          <w:szCs w:val="24"/>
        </w:rPr>
      </w:pPr>
      <m:oMath>
        <m:sSub>
          <m:sSubPr>
            <m:ctrlPr>
              <w:rPr>
                <w:rFonts w:ascii="Cambria Math" w:hAnsi="Cambria Math"/>
                <w:i/>
                <w:szCs w:val="24"/>
                <w:lang w:val="en-US"/>
              </w:rPr>
            </m:ctrlPr>
          </m:sSubPr>
          <m:e>
            <m:r>
              <w:rPr>
                <w:rFonts w:ascii="Cambria Math" w:hAnsi="Cambria Math"/>
                <w:szCs w:val="24"/>
              </w:rPr>
              <m:t>КБД</m:t>
            </m:r>
          </m:e>
          <m:sub>
            <m:r>
              <m:rPr>
                <m:sty m:val="p"/>
              </m:rPr>
              <w:rPr>
                <w:rFonts w:ascii="Cambria Math" w:eastAsia="Calibri" w:hAnsi="Cambria Math"/>
                <w:szCs w:val="24"/>
                <w:vertAlign w:val="subscript"/>
                <w:lang w:val="en-US"/>
              </w:rPr>
              <m:t>RUCBTR</m:t>
            </m:r>
            <m:r>
              <m:rPr>
                <m:sty m:val="p"/>
              </m:rPr>
              <w:rPr>
                <w:rFonts w:ascii="Cambria Math" w:eastAsia="Calibri" w:hAnsi="Cambria Math"/>
                <w:szCs w:val="24"/>
                <w:vertAlign w:val="subscript"/>
              </w:rPr>
              <m:t>2</m:t>
            </m:r>
            <m:r>
              <m:rPr>
                <m:sty m:val="p"/>
              </m:rPr>
              <w:rPr>
                <w:rFonts w:ascii="Cambria Math" w:eastAsia="Calibri" w:hAnsi="Cambria Math"/>
                <w:szCs w:val="24"/>
                <w:vertAlign w:val="subscript"/>
                <w:lang w:val="en-US"/>
              </w:rPr>
              <m:t>B</m:t>
            </m:r>
            <m:r>
              <m:rPr>
                <m:sty m:val="p"/>
              </m:rPr>
              <w:rPr>
                <w:rFonts w:ascii="Cambria Math" w:eastAsia="Calibri" w:hAnsi="Cambria Math"/>
                <w:szCs w:val="24"/>
                <w:vertAlign w:val="subscript"/>
              </w:rPr>
              <m:t>3</m:t>
            </m:r>
            <m:r>
              <m:rPr>
                <m:sty m:val="p"/>
              </m:rPr>
              <w:rPr>
                <w:rFonts w:ascii="Cambria Math" w:eastAsia="Calibri" w:hAnsi="Cambria Math"/>
                <w:szCs w:val="24"/>
                <w:vertAlign w:val="subscript"/>
                <w:lang w:val="en-US"/>
              </w:rPr>
              <m:t>B</m:t>
            </m:r>
          </m:sub>
        </m:sSub>
      </m:oMath>
      <w:r w:rsidR="00E41AB9" w:rsidRPr="005C3E39">
        <w:rPr>
          <w:rFonts w:eastAsiaTheme="minorEastAsia"/>
          <w:szCs w:val="24"/>
        </w:rPr>
        <w:tab/>
      </w:r>
      <w:r w:rsidR="00E41AB9" w:rsidRPr="005C3E39">
        <w:rPr>
          <w:szCs w:val="24"/>
        </w:rPr>
        <w:t>- значение Ставки КБД в точке, соответствующей дюрации индекса</w:t>
      </w:r>
      <w:r w:rsidR="00E41AB9" w:rsidRPr="005C3E39">
        <w:rPr>
          <w:rFonts w:eastAsia="Calibri"/>
          <w:szCs w:val="24"/>
        </w:rPr>
        <w:t xml:space="preserve"> RUCBTR2B3Bраскрытой Московской биржей</w:t>
      </w:r>
      <w:r w:rsidR="00E41AB9" w:rsidRPr="005C3E39">
        <w:rPr>
          <w:szCs w:val="24"/>
        </w:rPr>
        <w:t>.</w:t>
      </w:r>
    </w:p>
    <w:p w14:paraId="729F7462" w14:textId="6A40D0F4" w:rsidR="009A7343" w:rsidRPr="005C3E39" w:rsidRDefault="009A7343" w:rsidP="00E41AB9">
      <w:pPr>
        <w:spacing w:line="312" w:lineRule="auto"/>
        <w:ind w:left="3533" w:hanging="2115"/>
        <w:jc w:val="both"/>
        <w:rPr>
          <w:szCs w:val="24"/>
        </w:rPr>
      </w:pPr>
      <w:r>
        <w:rPr>
          <w:rFonts w:eastAsia="Calibri"/>
          <w:szCs w:val="24"/>
        </w:rPr>
        <w:lastRenderedPageBreak/>
        <w:t>(</w:t>
      </w:r>
      <w:r w:rsidRPr="00F27FDA">
        <w:rPr>
          <w:rFonts w:eastAsia="Calibri"/>
          <w:szCs w:val="24"/>
        </w:rPr>
        <w:t xml:space="preserve">с точностью до </w:t>
      </w:r>
      <w:r>
        <w:rPr>
          <w:rFonts w:eastAsia="Calibri"/>
          <w:szCs w:val="24"/>
        </w:rPr>
        <w:t>2</w:t>
      </w:r>
      <w:r w:rsidRPr="00F27FDA">
        <w:rPr>
          <w:rFonts w:eastAsia="Calibri"/>
          <w:szCs w:val="24"/>
        </w:rPr>
        <w:t xml:space="preserve"> знаков после запятой с применением правил математического округления</w:t>
      </w:r>
      <w:r>
        <w:rPr>
          <w:rFonts w:eastAsia="Calibri"/>
          <w:szCs w:val="24"/>
        </w:rPr>
        <w:t>)</w:t>
      </w:r>
      <w:r w:rsidRPr="005C3E39">
        <w:rPr>
          <w:szCs w:val="24"/>
        </w:rPr>
        <w:t>.</w:t>
      </w:r>
    </w:p>
    <w:p w14:paraId="5563B067" w14:textId="77777777" w:rsidR="00E41AB9" w:rsidRPr="005C3E39" w:rsidRDefault="00E41AB9" w:rsidP="00E41AB9">
      <w:pPr>
        <w:spacing w:line="312" w:lineRule="auto"/>
        <w:ind w:firstLine="708"/>
        <w:jc w:val="both"/>
        <w:rPr>
          <w:rFonts w:eastAsia="Calibri"/>
          <w:szCs w:val="24"/>
        </w:rPr>
      </w:pPr>
      <w:r w:rsidRPr="005C3E39">
        <w:rPr>
          <w:rFonts w:eastAsia="Calibri"/>
          <w:szCs w:val="24"/>
        </w:rPr>
        <w:t>Рассчитывается медианное значение кредитного спреда</w:t>
      </w:r>
      <w:r w:rsidRPr="005C3E39">
        <w:rPr>
          <w:rFonts w:eastAsia="Calibri"/>
          <w:b/>
          <w:szCs w:val="24"/>
        </w:rPr>
        <w:t xml:space="preserve">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РГII</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за последние 20 торговых дней (медиана из полученного ряда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III</w:t>
      </w:r>
      <w:r w:rsidRPr="005C3E39">
        <w:rPr>
          <w:rFonts w:eastAsia="Calibri"/>
          <w:szCs w:val="24"/>
        </w:rPr>
        <w:t xml:space="preserve">). </w:t>
      </w:r>
    </w:p>
    <w:p w14:paraId="6C7346F7" w14:textId="77777777" w:rsidR="00E41AB9" w:rsidRPr="005C3E39" w:rsidRDefault="00E41AB9" w:rsidP="00E41AB9">
      <w:pPr>
        <w:spacing w:line="312" w:lineRule="auto"/>
        <w:ind w:firstLine="708"/>
        <w:jc w:val="both"/>
        <w:rPr>
          <w:rFonts w:eastAsia="Calibri"/>
          <w:szCs w:val="24"/>
        </w:rPr>
      </w:pPr>
      <w:r w:rsidRPr="005C3E39">
        <w:rPr>
          <w:rFonts w:eastAsia="Calibri"/>
          <w:szCs w:val="24"/>
        </w:rPr>
        <w:t xml:space="preserve">При расчете значения медианного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РГII</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промежуточные округления значений </w:t>
      </w:r>
      <w:r w:rsidRPr="005C3E39">
        <w:rPr>
          <w:rFonts w:eastAsia="Calibri"/>
          <w:b/>
          <w:szCs w:val="24"/>
          <w:lang w:val="en-US"/>
        </w:rPr>
        <w:t>S</w:t>
      </w:r>
      <w:r w:rsidRPr="005C3E39">
        <w:rPr>
          <w:rFonts w:eastAsia="Calibri"/>
          <w:b/>
          <w:szCs w:val="24"/>
          <w:vertAlign w:val="subscript"/>
        </w:rPr>
        <w:t>РГ</w:t>
      </w:r>
      <w:r w:rsidRPr="005C3E39">
        <w:rPr>
          <w:rFonts w:eastAsia="Calibri"/>
          <w:b/>
          <w:szCs w:val="24"/>
          <w:vertAlign w:val="subscript"/>
          <w:lang w:val="en-US"/>
        </w:rPr>
        <w:t>III</w:t>
      </w:r>
      <w:r w:rsidRPr="005C3E39">
        <w:rPr>
          <w:rFonts w:eastAsia="Calibri"/>
          <w:szCs w:val="24"/>
        </w:rPr>
        <w:t xml:space="preserve"> не производятся. Полученное медианное значение кредитного спреда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РГII</m:t>
            </m:r>
            <m:r>
              <m:rPr>
                <m:sty m:val="p"/>
              </m:rPr>
              <w:rPr>
                <w:rFonts w:ascii="Cambria Math" w:eastAsia="Calibri" w:hAnsi="Cambria Math"/>
                <w:szCs w:val="24"/>
                <w:lang w:val="en-US"/>
              </w:rPr>
              <m:t>I</m:t>
            </m:r>
          </m:sub>
          <m:sup>
            <m:r>
              <w:rPr>
                <w:rFonts w:ascii="Cambria Math" w:eastAsia="Calibri" w:hAnsi="Cambria Math"/>
                <w:szCs w:val="24"/>
              </w:rPr>
              <m:t>m</m:t>
            </m:r>
          </m:sup>
        </m:sSubSup>
      </m:oMath>
      <w:r w:rsidRPr="005C3E39">
        <w:rPr>
          <w:rFonts w:eastAsia="Calibri"/>
          <w:szCs w:val="24"/>
        </w:rPr>
        <w:t xml:space="preserve"> округляется по правилам математического округления до целого значения базисных пунктов.</w:t>
      </w:r>
    </w:p>
    <w:p w14:paraId="1D7672FC" w14:textId="77777777" w:rsidR="00E41AB9" w:rsidRPr="005C3E39" w:rsidRDefault="00E41AB9" w:rsidP="00E41AB9">
      <w:pPr>
        <w:pStyle w:val="a7"/>
        <w:spacing w:after="0" w:line="312" w:lineRule="auto"/>
        <w:ind w:left="644"/>
        <w:jc w:val="both"/>
        <w:rPr>
          <w:rFonts w:ascii="Times New Roman" w:hAnsi="Times New Roman"/>
          <w:b/>
          <w:sz w:val="24"/>
          <w:szCs w:val="24"/>
        </w:rPr>
      </w:pPr>
      <w:r w:rsidRPr="005C3E39">
        <w:rPr>
          <w:rFonts w:ascii="Times New Roman" w:hAnsi="Times New Roman"/>
          <w:b/>
          <w:sz w:val="24"/>
          <w:szCs w:val="24"/>
        </w:rPr>
        <w:t>Особенности определения кредитных спредов для IV рейтинговой группы</w:t>
      </w:r>
    </w:p>
    <w:p w14:paraId="6425EDC2" w14:textId="77777777" w:rsidR="00E41AB9" w:rsidRPr="005C3E39" w:rsidRDefault="00E41AB9" w:rsidP="00E41AB9">
      <w:pPr>
        <w:tabs>
          <w:tab w:val="left" w:pos="567"/>
        </w:tabs>
        <w:spacing w:line="312" w:lineRule="auto"/>
        <w:contextualSpacing/>
        <w:jc w:val="both"/>
        <w:rPr>
          <w:rFonts w:eastAsia="Calibri"/>
          <w:szCs w:val="24"/>
        </w:rPr>
      </w:pPr>
      <w:r w:rsidRPr="005C3E39">
        <w:rPr>
          <w:rFonts w:eastAsia="Calibri"/>
          <w:szCs w:val="24"/>
        </w:rPr>
        <w:tab/>
        <w:t xml:space="preserve">С учетом наличия в данной группе долговых инструментов низкого кредитного качества, в т.ч. преддефолтных, а также долговых инструментов удовлетворительного кредитного качества, но без рейтинга, медианный кредитный спред </w:t>
      </w: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m:t>
            </m:r>
            <m:r>
              <m:rPr>
                <m:sty m:val="p"/>
              </m:rPr>
              <w:rPr>
                <w:rFonts w:ascii="Cambria Math" w:eastAsia="Calibri" w:hAnsi="Cambria Math"/>
                <w:szCs w:val="24"/>
                <w:lang w:val="en-US"/>
              </w:rPr>
              <m:t>IV</m:t>
            </m:r>
          </m:sub>
          <m:sup>
            <m:r>
              <w:rPr>
                <w:rFonts w:ascii="Cambria Math" w:eastAsia="Calibri" w:hAnsi="Cambria Math"/>
                <w:szCs w:val="24"/>
              </w:rPr>
              <m:t>m</m:t>
            </m:r>
          </m:sup>
        </m:sSubSup>
      </m:oMath>
      <w:r w:rsidRPr="005C3E39">
        <w:rPr>
          <w:rFonts w:eastAsia="Calibri"/>
          <w:szCs w:val="24"/>
        </w:rPr>
        <w:t xml:space="preserve"> рассчитывается на индивидуальной основе для каждого долгового инструмента.</w:t>
      </w:r>
    </w:p>
    <w:p w14:paraId="1E1F1EDE" w14:textId="77777777" w:rsidR="00E41AB9" w:rsidRPr="005C3E39" w:rsidRDefault="00E41AB9" w:rsidP="00E41AB9">
      <w:pPr>
        <w:tabs>
          <w:tab w:val="left" w:pos="567"/>
        </w:tabs>
        <w:spacing w:line="312" w:lineRule="auto"/>
        <w:contextualSpacing/>
        <w:jc w:val="both"/>
        <w:rPr>
          <w:rFonts w:eastAsia="Calibri"/>
          <w:szCs w:val="24"/>
        </w:rPr>
      </w:pPr>
      <w:r w:rsidRPr="005C3E39">
        <w:rPr>
          <w:rFonts w:eastAsia="Calibri"/>
          <w:szCs w:val="24"/>
        </w:rPr>
        <w:tab/>
        <w:t>Значение медианного кредитного спреда для долгового инструмента, включенного в IV рейтинговую группу, рассчитывается на каждую дату определения справедливой стоимости долгового инструмента в следующем порядке</w:t>
      </w:r>
      <w:r w:rsidRPr="005C3E39">
        <w:rPr>
          <w:rStyle w:val="af1"/>
          <w:rFonts w:eastAsia="Calibri"/>
        </w:rPr>
        <w:footnoteReference w:id="3"/>
      </w:r>
      <w:r w:rsidRPr="005C3E39">
        <w:rPr>
          <w:rFonts w:eastAsia="Calibri"/>
          <w:szCs w:val="24"/>
        </w:rPr>
        <w:t>:</w:t>
      </w:r>
    </w:p>
    <w:p w14:paraId="2AEFFA00" w14:textId="77777777" w:rsidR="00E41AB9" w:rsidRPr="005C3E39" w:rsidRDefault="00E41AB9" w:rsidP="00E41AB9">
      <w:pPr>
        <w:tabs>
          <w:tab w:val="left" w:pos="567"/>
        </w:tabs>
        <w:spacing w:line="312" w:lineRule="auto"/>
        <w:ind w:left="708"/>
        <w:contextualSpacing/>
        <w:jc w:val="both"/>
        <w:rPr>
          <w:rFonts w:eastAsia="Calibri"/>
          <w:szCs w:val="24"/>
        </w:rPr>
      </w:pPr>
      <w:r w:rsidRPr="005C3E39">
        <w:rPr>
          <w:rFonts w:eastAsia="Calibri"/>
          <w:szCs w:val="24"/>
        </w:rPr>
        <w:t>не реже чем на последний день каждого квартала для долгового инструмента определяется значение кредитного спреда с применением одного из перечисленных ниже способов (далее – экспертное значение кредитного спреда). Одновременно для долгового инструмента определяется величина отклонения экспертного значения кредитного спреда от значения медианного кредитного спреда, рассчитанного для III рейтинговой группы на эту же дату (</w:t>
      </w:r>
      <m:oMath>
        <m:r>
          <w:rPr>
            <w:rFonts w:ascii="Cambria Math" w:eastAsia="Calibri" w:hAnsi="Cambria Math"/>
            <w:szCs w:val="24"/>
          </w:rPr>
          <m:t>∆</m:t>
        </m:r>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РГ(II</m:t>
            </m:r>
            <m:r>
              <m:rPr>
                <m:sty m:val="p"/>
              </m:rPr>
              <w:rPr>
                <w:rFonts w:ascii="Cambria Math" w:eastAsia="Calibri" w:hAnsi="Cambria Math"/>
                <w:szCs w:val="24"/>
                <w:lang w:val="en-US"/>
              </w:rPr>
              <m:t>I</m:t>
            </m:r>
            <m:r>
              <m:rPr>
                <m:sty m:val="p"/>
              </m:rPr>
              <w:rPr>
                <w:rFonts w:ascii="Cambria Math" w:eastAsia="Calibri" w:hAnsi="Cambria Math"/>
                <w:szCs w:val="24"/>
              </w:rPr>
              <m:t>-</m:t>
            </m:r>
            <m:r>
              <m:rPr>
                <m:sty m:val="p"/>
              </m:rPr>
              <w:rPr>
                <w:rFonts w:ascii="Cambria Math" w:eastAsia="Calibri" w:hAnsi="Cambria Math"/>
                <w:szCs w:val="24"/>
                <w:lang w:val="en-US"/>
              </w:rPr>
              <m:t>IV</m:t>
            </m:r>
            <m:r>
              <m:rPr>
                <m:sty m:val="p"/>
              </m:rPr>
              <w:rPr>
                <w:rFonts w:ascii="Cambria Math" w:eastAsia="Calibri" w:hAnsi="Cambria Math"/>
                <w:szCs w:val="24"/>
              </w:rPr>
              <m:t>)</m:t>
            </m:r>
          </m:sub>
          <m:sup>
            <m:r>
              <w:rPr>
                <w:rFonts w:ascii="Cambria Math" w:eastAsia="Calibri" w:hAnsi="Cambria Math"/>
                <w:szCs w:val="24"/>
              </w:rPr>
              <m:t>m</m:t>
            </m:r>
          </m:sup>
        </m:sSubSup>
      </m:oMath>
      <w:r w:rsidRPr="005C3E39">
        <w:rPr>
          <w:rFonts w:eastAsia="Calibri"/>
          <w:szCs w:val="24"/>
        </w:rPr>
        <w:t>);</w:t>
      </w:r>
    </w:p>
    <w:p w14:paraId="53569330" w14:textId="77777777" w:rsidR="00E41AB9" w:rsidRPr="005C3E39" w:rsidRDefault="00E41AB9" w:rsidP="00E41AB9">
      <w:pPr>
        <w:tabs>
          <w:tab w:val="left" w:pos="567"/>
        </w:tabs>
        <w:spacing w:line="312" w:lineRule="auto"/>
        <w:ind w:left="708"/>
        <w:contextualSpacing/>
        <w:jc w:val="both"/>
        <w:rPr>
          <w:rFonts w:eastAsia="Calibri"/>
          <w:szCs w:val="24"/>
        </w:rPr>
      </w:pPr>
      <w:r w:rsidRPr="005C3E39">
        <w:rPr>
          <w:rFonts w:eastAsia="Calibri"/>
          <w:szCs w:val="24"/>
        </w:rPr>
        <w:t xml:space="preserve">медианный кредитный спред </w:t>
      </w:r>
      <m:oMath>
        <m:sSubSup>
          <m:sSubSupPr>
            <m:ctrlPr>
              <w:rPr>
                <w:rFonts w:ascii="Cambria Math" w:eastAsia="Calibri" w:hAnsi="Cambria Math"/>
                <w:i/>
                <w:szCs w:val="24"/>
              </w:rPr>
            </m:ctrlPr>
          </m:sSubSupPr>
          <m:e>
            <m:r>
              <w:rPr>
                <w:rFonts w:ascii="Cambria Math" w:eastAsia="Calibri" w:hAnsi="Cambria Math"/>
                <w:szCs w:val="24"/>
                <w:lang w:val="en-US"/>
              </w:rPr>
              <m:t>S</m:t>
            </m:r>
          </m:e>
          <m:sub>
            <m:r>
              <w:rPr>
                <w:rFonts w:ascii="Cambria Math" w:eastAsia="Calibri" w:hAnsi="Cambria Math"/>
                <w:szCs w:val="24"/>
              </w:rPr>
              <m:t>РГ</m:t>
            </m:r>
            <m:r>
              <w:rPr>
                <w:rFonts w:ascii="Cambria Math" w:eastAsia="Calibri" w:hAnsi="Cambria Math"/>
                <w:szCs w:val="24"/>
                <w:lang w:val="en-US"/>
              </w:rPr>
              <m:t>IV</m:t>
            </m:r>
          </m:sub>
          <m:sup>
            <m:r>
              <w:rPr>
                <w:rFonts w:ascii="Cambria Math" w:eastAsia="Calibri" w:hAnsi="Cambria Math"/>
                <w:szCs w:val="24"/>
              </w:rPr>
              <m:t>m</m:t>
            </m:r>
          </m:sup>
        </m:sSubSup>
      </m:oMath>
      <w:r w:rsidRPr="005C3E39">
        <w:rPr>
          <w:rFonts w:eastAsia="Calibri"/>
          <w:szCs w:val="24"/>
        </w:rPr>
        <w:t xml:space="preserve"> для долгового инструмента признается равным (в порядке убывания приоритета):</w:t>
      </w:r>
    </w:p>
    <w:p w14:paraId="3B597353" w14:textId="77777777" w:rsidR="00E41AB9" w:rsidRPr="005C3E39" w:rsidRDefault="00E41AB9" w:rsidP="00E41AB9">
      <w:pPr>
        <w:numPr>
          <w:ilvl w:val="0"/>
          <w:numId w:val="22"/>
        </w:numPr>
        <w:spacing w:line="312" w:lineRule="auto"/>
        <w:ind w:left="1134" w:hanging="425"/>
        <w:contextualSpacing/>
        <w:jc w:val="both"/>
        <w:rPr>
          <w:rFonts w:eastAsia="Calibri"/>
          <w:szCs w:val="24"/>
        </w:rPr>
      </w:pPr>
      <w:r w:rsidRPr="005C3E39">
        <w:rPr>
          <w:rFonts w:eastAsia="Calibri"/>
          <w:szCs w:val="24"/>
        </w:rPr>
        <w:t>экспертному значению кредитного спреда, если оно рассчитано на дату определения справедливой стоимости долгового инструмента;</w:t>
      </w:r>
    </w:p>
    <w:p w14:paraId="71AA1DA7" w14:textId="77777777" w:rsidR="00E41AB9" w:rsidRPr="005C3E39" w:rsidRDefault="00E41AB9" w:rsidP="00E41AB9">
      <w:pPr>
        <w:numPr>
          <w:ilvl w:val="0"/>
          <w:numId w:val="22"/>
        </w:numPr>
        <w:spacing w:line="312" w:lineRule="auto"/>
        <w:ind w:left="1134" w:hanging="425"/>
        <w:contextualSpacing/>
        <w:jc w:val="both"/>
        <w:rPr>
          <w:rFonts w:eastAsia="Calibri"/>
          <w:szCs w:val="24"/>
        </w:rPr>
      </w:pPr>
      <w:r w:rsidRPr="005C3E39">
        <w:rPr>
          <w:rFonts w:eastAsia="Calibri"/>
          <w:szCs w:val="24"/>
        </w:rPr>
        <w:t xml:space="preserve">значению медианного кредитного спреда, рассчитанному для III рейтинговой группы на дату определения справедливой стоимости долгового инструмента и увеличенному на величину </w:t>
      </w:r>
      <m:oMath>
        <m:r>
          <w:rPr>
            <w:rFonts w:ascii="Cambria Math" w:eastAsia="Calibri" w:hAnsi="Cambria Math"/>
            <w:szCs w:val="24"/>
          </w:rPr>
          <m:t>∆</m:t>
        </m:r>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РГ(II</m:t>
            </m:r>
            <m:r>
              <m:rPr>
                <m:sty m:val="p"/>
              </m:rPr>
              <w:rPr>
                <w:rFonts w:ascii="Cambria Math" w:eastAsia="Calibri" w:hAnsi="Cambria Math"/>
                <w:szCs w:val="24"/>
                <w:lang w:val="en-US"/>
              </w:rPr>
              <m:t>I</m:t>
            </m:r>
            <m:r>
              <m:rPr>
                <m:sty m:val="p"/>
              </m:rPr>
              <w:rPr>
                <w:rFonts w:ascii="Cambria Math" w:eastAsia="Calibri" w:hAnsi="Cambria Math"/>
                <w:szCs w:val="24"/>
              </w:rPr>
              <m:t>-</m:t>
            </m:r>
            <m:r>
              <m:rPr>
                <m:sty m:val="p"/>
              </m:rPr>
              <w:rPr>
                <w:rFonts w:ascii="Cambria Math" w:eastAsia="Calibri" w:hAnsi="Cambria Math"/>
                <w:szCs w:val="24"/>
                <w:lang w:val="en-US"/>
              </w:rPr>
              <m:t>IV</m:t>
            </m:r>
            <m:r>
              <m:rPr>
                <m:sty m:val="p"/>
              </m:rPr>
              <w:rPr>
                <w:rFonts w:ascii="Cambria Math" w:eastAsia="Calibri" w:hAnsi="Cambria Math"/>
                <w:szCs w:val="24"/>
              </w:rPr>
              <m:t>)</m:t>
            </m:r>
          </m:sub>
          <m:sup>
            <m:r>
              <w:rPr>
                <w:rFonts w:ascii="Cambria Math" w:eastAsia="Calibri" w:hAnsi="Cambria Math"/>
                <w:szCs w:val="24"/>
              </w:rPr>
              <m:t>m</m:t>
            </m:r>
          </m:sup>
        </m:sSubSup>
      </m:oMath>
      <w:r w:rsidRPr="005C3E39">
        <w:rPr>
          <w:rFonts w:eastAsia="Calibri"/>
          <w:szCs w:val="24"/>
        </w:rPr>
        <w:t>, рассчитанную на наиболее позднюю дату определения экспертного значения кредитного спреда для данного долгового инструмента.</w:t>
      </w:r>
    </w:p>
    <w:p w14:paraId="26407C17" w14:textId="77777777" w:rsidR="00E41AB9" w:rsidRPr="005C3E39" w:rsidRDefault="00E41AB9" w:rsidP="00E41AB9">
      <w:pPr>
        <w:tabs>
          <w:tab w:val="left" w:pos="567"/>
        </w:tabs>
        <w:spacing w:line="312" w:lineRule="auto"/>
        <w:contextualSpacing/>
        <w:jc w:val="both"/>
        <w:rPr>
          <w:rFonts w:eastAsia="Calibri"/>
          <w:szCs w:val="24"/>
        </w:rPr>
      </w:pPr>
      <w:r w:rsidRPr="005C3E39">
        <w:rPr>
          <w:rFonts w:eastAsia="Calibri"/>
          <w:szCs w:val="24"/>
        </w:rPr>
        <w:tab/>
        <w:t>В целях настоящего пункта в расчете значения медианного кредитного спреда для III рейтинговой группы не учитывается премия за субординированность в случае, если долговой инструмент является субординированным.</w:t>
      </w:r>
    </w:p>
    <w:p w14:paraId="12E551E7" w14:textId="77777777" w:rsidR="00E41AB9" w:rsidRPr="005C3E39" w:rsidRDefault="00E41AB9" w:rsidP="00E41AB9">
      <w:pPr>
        <w:tabs>
          <w:tab w:val="left" w:pos="567"/>
        </w:tabs>
        <w:spacing w:line="312" w:lineRule="auto"/>
        <w:contextualSpacing/>
        <w:jc w:val="both"/>
        <w:rPr>
          <w:rFonts w:eastAsia="Calibri"/>
          <w:szCs w:val="24"/>
        </w:rPr>
      </w:pPr>
      <w:r w:rsidRPr="005C3E39">
        <w:rPr>
          <w:rFonts w:eastAsia="Calibri"/>
          <w:szCs w:val="24"/>
        </w:rPr>
        <w:tab/>
        <w:t>При расчете экспертного значения кредитного спреда максимально используются наблюдаемые рыночные данные. Ниже приведены возможные методы расчета экспертного значения кредитного спреда в порядке убывания приоритета по использованию рыночных данных:</w:t>
      </w:r>
    </w:p>
    <w:p w14:paraId="0283D2B4" w14:textId="77777777" w:rsidR="00E41AB9" w:rsidRPr="005C3E39" w:rsidRDefault="00E41AB9" w:rsidP="00E41AB9">
      <w:pPr>
        <w:numPr>
          <w:ilvl w:val="0"/>
          <w:numId w:val="23"/>
        </w:numPr>
        <w:tabs>
          <w:tab w:val="left" w:pos="1134"/>
        </w:tabs>
        <w:spacing w:line="312" w:lineRule="auto"/>
        <w:ind w:left="567"/>
        <w:jc w:val="both"/>
        <w:rPr>
          <w:rFonts w:eastAsia="Calibri"/>
          <w:szCs w:val="24"/>
        </w:rPr>
      </w:pPr>
      <w:r w:rsidRPr="005C3E39">
        <w:rPr>
          <w:rFonts w:eastAsia="Calibri"/>
          <w:szCs w:val="24"/>
        </w:rPr>
        <w:lastRenderedPageBreak/>
        <w:t>Если у эмитента имеются в обращении другие выпуски долговых ценных бумаг, по которым существует активный рынок и имеются доступные цены уровня 1 иерархии справедливой стоимости, то медианное значение кредитного спреда рассчитывается как среднее значение отклонений эффективной доходности к погашению (оферте) таких выпусков от Ставки КБД для средневзвешенного срока до погашения (оферты) соответствующего выпуска.</w:t>
      </w:r>
    </w:p>
    <w:p w14:paraId="1636F752" w14:textId="77777777" w:rsidR="00E41AB9" w:rsidRPr="005C3E39" w:rsidRDefault="002B470C" w:rsidP="00E41AB9">
      <w:pPr>
        <w:tabs>
          <w:tab w:val="left" w:pos="567"/>
        </w:tabs>
        <w:spacing w:line="312" w:lineRule="auto"/>
        <w:jc w:val="both"/>
        <w:rPr>
          <w:rFonts w:eastAsia="Calibri"/>
          <w:i/>
          <w:szCs w:val="24"/>
        </w:rPr>
      </w:pPr>
      <m:oMathPara>
        <m:oMath>
          <m:sSubSup>
            <m:sSubSupPr>
              <m:ctrlPr>
                <w:rPr>
                  <w:rFonts w:ascii="Cambria Math" w:eastAsia="Calibri" w:hAnsi="Cambria Math"/>
                  <w:i/>
                  <w:szCs w:val="24"/>
                </w:rPr>
              </m:ctrlPr>
            </m:sSubSupPr>
            <m:e>
              <m:r>
                <w:rPr>
                  <w:rFonts w:ascii="Cambria Math" w:eastAsia="Calibri" w:hAnsi="Cambria Math"/>
                  <w:szCs w:val="24"/>
                  <w:lang w:val="en-US"/>
                </w:rPr>
                <m:t>S</m:t>
              </m:r>
            </m:e>
            <m:sub>
              <m:r>
                <w:rPr>
                  <w:rFonts w:ascii="Cambria Math" w:eastAsia="Calibri" w:hAnsi="Cambria Math"/>
                  <w:szCs w:val="24"/>
                </w:rPr>
                <m:t>РГ</m:t>
              </m:r>
              <m:r>
                <w:rPr>
                  <w:rFonts w:ascii="Cambria Math" w:eastAsia="Calibri" w:hAnsi="Cambria Math"/>
                  <w:szCs w:val="24"/>
                  <w:lang w:val="en-US"/>
                </w:rPr>
                <m:t>IV</m:t>
              </m:r>
            </m:sub>
            <m:sup>
              <m:r>
                <w:rPr>
                  <w:rFonts w:ascii="Cambria Math" w:eastAsia="Calibri" w:hAnsi="Cambria Math"/>
                  <w:szCs w:val="24"/>
                </w:rPr>
                <m:t>m</m:t>
              </m:r>
            </m:sup>
          </m:sSubSup>
          <m:r>
            <w:rPr>
              <w:rFonts w:ascii="Cambria Math" w:eastAsia="Calibri" w:hAnsi="Cambria Math"/>
              <w:szCs w:val="24"/>
            </w:rPr>
            <m:t>=ОКРУГЛ</m:t>
          </m:r>
          <m:d>
            <m:dPr>
              <m:ctrlPr>
                <w:rPr>
                  <w:rFonts w:ascii="Cambria Math" w:eastAsia="Calibri" w:hAnsi="Cambria Math"/>
                  <w:i/>
                  <w:szCs w:val="24"/>
                </w:rPr>
              </m:ctrlPr>
            </m:dPr>
            <m:e>
              <m:r>
                <w:rPr>
                  <w:rFonts w:ascii="Cambria Math" w:eastAsia="Calibri" w:hAnsi="Cambria Math"/>
                  <w:szCs w:val="24"/>
                </w:rPr>
                <m:t>СРЗНАЧ</m:t>
              </m:r>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lang w:val="en-US"/>
                        </w:rPr>
                        <m:t>YTM</m:t>
                      </m:r>
                    </m:e>
                    <m:sub>
                      <m:r>
                        <w:rPr>
                          <w:rFonts w:ascii="Cambria Math" w:eastAsia="Calibri" w:hAnsi="Cambria Math"/>
                          <w:szCs w:val="24"/>
                        </w:rPr>
                        <m:t>i</m:t>
                      </m:r>
                    </m:sub>
                  </m:sSub>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КБД</m:t>
                      </m:r>
                    </m:e>
                    <m:sub>
                      <m:r>
                        <w:rPr>
                          <w:rFonts w:ascii="Cambria Math" w:eastAsia="Calibri" w:hAnsi="Cambria Math"/>
                          <w:szCs w:val="24"/>
                        </w:rPr>
                        <m:t>i</m:t>
                      </m:r>
                    </m:sub>
                  </m:sSub>
                </m:e>
              </m:d>
              <m:r>
                <w:rPr>
                  <w:rFonts w:ascii="Cambria Math" w:eastAsia="Calibri" w:hAnsi="Cambria Math"/>
                  <w:szCs w:val="24"/>
                </w:rPr>
                <m:t>,4</m:t>
              </m:r>
            </m:e>
          </m:d>
          <m:r>
            <w:rPr>
              <w:rFonts w:ascii="Cambria Math" w:eastAsia="Calibri" w:hAnsi="Cambria Math"/>
              <w:szCs w:val="24"/>
            </w:rPr>
            <m:t xml:space="preserve">×100,                                    </m:t>
          </m:r>
        </m:oMath>
      </m:oMathPara>
    </w:p>
    <w:p w14:paraId="55BAB38C" w14:textId="77777777" w:rsidR="00E41AB9" w:rsidRPr="005C3E39" w:rsidRDefault="00E41AB9" w:rsidP="00E41AB9">
      <w:pPr>
        <w:spacing w:line="312" w:lineRule="auto"/>
        <w:jc w:val="both"/>
        <w:rPr>
          <w:szCs w:val="24"/>
        </w:rPr>
      </w:pPr>
      <w:r w:rsidRPr="005C3E39">
        <w:rPr>
          <w:szCs w:val="24"/>
        </w:rPr>
        <w:t>Где:</w:t>
      </w:r>
      <w:r w:rsidRPr="005C3E39">
        <w:rPr>
          <w:szCs w:val="24"/>
        </w:rPr>
        <w:tab/>
      </w:r>
      <w:r w:rsidRPr="005C3E39">
        <w:rPr>
          <w:szCs w:val="24"/>
        </w:rPr>
        <w:tab/>
      </w:r>
      <w:r w:rsidRPr="005C3E39">
        <w:rPr>
          <w:szCs w:val="24"/>
        </w:rPr>
        <w:tab/>
      </w:r>
      <w:r w:rsidRPr="005C3E39">
        <w:rPr>
          <w:szCs w:val="24"/>
        </w:rPr>
        <w:tab/>
      </w:r>
    </w:p>
    <w:p w14:paraId="7686D986" w14:textId="77777777" w:rsidR="00E41AB9" w:rsidRPr="005C3E39" w:rsidRDefault="002B470C" w:rsidP="00E41AB9">
      <w:pPr>
        <w:spacing w:line="312" w:lineRule="auto"/>
        <w:ind w:left="3533" w:hanging="2115"/>
        <w:jc w:val="both"/>
        <w:rPr>
          <w:szCs w:val="24"/>
        </w:rPr>
      </w:pPr>
      <m:oMath>
        <m:sSubSup>
          <m:sSubSupPr>
            <m:ctrlPr>
              <w:rPr>
                <w:rFonts w:ascii="Cambria Math" w:eastAsia="Calibri" w:hAnsi="Cambria Math"/>
                <w:i/>
                <w:szCs w:val="24"/>
              </w:rPr>
            </m:ctrlPr>
          </m:sSubSupPr>
          <m:e>
            <m:r>
              <w:rPr>
                <w:rFonts w:ascii="Cambria Math" w:eastAsia="Calibri" w:hAnsi="Cambria Math"/>
                <w:szCs w:val="24"/>
                <w:lang w:val="en-US"/>
              </w:rPr>
              <m:t>S</m:t>
            </m:r>
          </m:e>
          <m:sub>
            <m:r>
              <w:rPr>
                <w:rFonts w:ascii="Cambria Math" w:eastAsia="Calibri" w:hAnsi="Cambria Math"/>
                <w:szCs w:val="24"/>
              </w:rPr>
              <m:t>РГ</m:t>
            </m:r>
            <m:r>
              <w:rPr>
                <w:rFonts w:ascii="Cambria Math" w:eastAsia="Calibri" w:hAnsi="Cambria Math"/>
                <w:szCs w:val="24"/>
                <w:lang w:val="en-US"/>
              </w:rPr>
              <m:t>IV</m:t>
            </m:r>
          </m:sub>
          <m:sup>
            <m:r>
              <w:rPr>
                <w:rFonts w:ascii="Cambria Math" w:eastAsia="Calibri" w:hAnsi="Cambria Math"/>
                <w:szCs w:val="24"/>
              </w:rPr>
              <m:t>m</m:t>
            </m:r>
          </m:sup>
        </m:sSubSup>
      </m:oMath>
      <w:r w:rsidR="00E41AB9" w:rsidRPr="005C3E39">
        <w:rPr>
          <w:szCs w:val="24"/>
        </w:rPr>
        <w:tab/>
      </w:r>
      <w:r w:rsidR="00E41AB9" w:rsidRPr="005C3E39">
        <w:rPr>
          <w:szCs w:val="24"/>
        </w:rPr>
        <w:tab/>
        <w:t xml:space="preserve">- медианное </w:t>
      </w:r>
      <w:r w:rsidR="00E41AB9" w:rsidRPr="005C3E39">
        <w:rPr>
          <w:rFonts w:eastAsia="Calibri"/>
          <w:szCs w:val="24"/>
        </w:rPr>
        <w:t>значение кредитного спреда, рассчитанные в базисных пунктах;</w:t>
      </w:r>
    </w:p>
    <w:p w14:paraId="2E53D773" w14:textId="77777777" w:rsidR="00E41AB9" w:rsidRPr="005C3E39" w:rsidRDefault="002B470C" w:rsidP="00E41AB9">
      <w:pPr>
        <w:spacing w:line="312" w:lineRule="auto"/>
        <w:ind w:left="3533" w:hanging="2115"/>
        <w:jc w:val="both"/>
        <w:rPr>
          <w:szCs w:val="24"/>
        </w:rPr>
      </w:pPr>
      <m:oMath>
        <m:sSub>
          <m:sSubPr>
            <m:ctrlPr>
              <w:rPr>
                <w:rFonts w:ascii="Cambria Math" w:eastAsia="Calibri" w:hAnsi="Cambria Math"/>
                <w:i/>
                <w:szCs w:val="24"/>
              </w:rPr>
            </m:ctrlPr>
          </m:sSubPr>
          <m:e>
            <m:r>
              <w:rPr>
                <w:rFonts w:ascii="Cambria Math" w:eastAsia="Calibri" w:hAnsi="Cambria Math"/>
                <w:szCs w:val="24"/>
                <w:lang w:val="en-US"/>
              </w:rPr>
              <m:t>YTM</m:t>
            </m:r>
          </m:e>
          <m:sub>
            <m:r>
              <w:rPr>
                <w:rFonts w:ascii="Cambria Math" w:eastAsia="Calibri" w:hAnsi="Cambria Math"/>
                <w:szCs w:val="24"/>
              </w:rPr>
              <m:t>i</m:t>
            </m:r>
          </m:sub>
        </m:sSub>
      </m:oMath>
      <w:r w:rsidR="00E41AB9" w:rsidRPr="005C3E39">
        <w:rPr>
          <w:szCs w:val="24"/>
        </w:rPr>
        <w:tab/>
      </w:r>
      <w:r w:rsidR="00E41AB9" w:rsidRPr="005C3E39">
        <w:rPr>
          <w:szCs w:val="24"/>
        </w:rPr>
        <w:tab/>
        <w:t xml:space="preserve">- </w:t>
      </w:r>
      <w:r w:rsidR="00E41AB9" w:rsidRPr="005C3E39">
        <w:rPr>
          <w:rFonts w:eastAsia="Calibri"/>
          <w:szCs w:val="24"/>
        </w:rPr>
        <w:t xml:space="preserve">эффективная доходность к погашению (оферте) по средневзвешенной цене </w:t>
      </w:r>
      <w:r w:rsidR="00E41AB9" w:rsidRPr="005C3E39">
        <w:rPr>
          <w:rFonts w:eastAsia="Calibri"/>
          <w:i/>
          <w:szCs w:val="24"/>
          <w:lang w:val="en-US"/>
        </w:rPr>
        <w:t>i</w:t>
      </w:r>
      <w:r w:rsidR="00E41AB9" w:rsidRPr="005C3E39">
        <w:rPr>
          <w:rFonts w:eastAsia="Calibri"/>
          <w:szCs w:val="24"/>
        </w:rPr>
        <w:t>-го выпуска долговой ценной бумаги, раскрытая Московской биржей</w:t>
      </w:r>
      <w:r w:rsidR="00E41AB9" w:rsidRPr="005C3E39">
        <w:rPr>
          <w:szCs w:val="24"/>
        </w:rPr>
        <w:t>;</w:t>
      </w:r>
    </w:p>
    <w:p w14:paraId="617D34A9"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rPr>
            </m:ctrlPr>
          </m:sSubPr>
          <m:e>
            <m:r>
              <w:rPr>
                <w:rFonts w:ascii="Cambria Math" w:hAnsi="Cambria Math"/>
                <w:szCs w:val="24"/>
              </w:rPr>
              <m:t>КБД</m:t>
            </m:r>
          </m:e>
          <m:sub>
            <m:r>
              <w:rPr>
                <w:rFonts w:ascii="Cambria Math" w:hAnsi="Cambria Math"/>
                <w:szCs w:val="24"/>
              </w:rPr>
              <m:t>i</m:t>
            </m:r>
          </m:sub>
        </m:sSub>
      </m:oMath>
      <w:r w:rsidR="00E41AB9" w:rsidRPr="005C3E39">
        <w:rPr>
          <w:szCs w:val="24"/>
        </w:rPr>
        <w:tab/>
        <w:t xml:space="preserve">- значение Ставки КБД в точке, соответствующей средневзвешенному сроку до погашения (оферты) </w:t>
      </w:r>
      <w:r w:rsidR="00E41AB9" w:rsidRPr="005C3E39">
        <w:rPr>
          <w:i/>
          <w:szCs w:val="24"/>
          <w:lang w:val="en-US"/>
        </w:rPr>
        <w:t>i</w:t>
      </w:r>
      <w:r w:rsidR="00E41AB9" w:rsidRPr="005C3E39">
        <w:rPr>
          <w:rFonts w:eastAsia="Calibri"/>
          <w:szCs w:val="24"/>
        </w:rPr>
        <w:t>-го выпуска долговой ценной бумаги</w:t>
      </w:r>
      <w:r w:rsidR="00E41AB9" w:rsidRPr="005C3E39">
        <w:rPr>
          <w:szCs w:val="24"/>
        </w:rPr>
        <w:t>;</w:t>
      </w:r>
    </w:p>
    <w:p w14:paraId="1B5A2817" w14:textId="77777777" w:rsidR="00E41AB9" w:rsidRPr="005C3E39" w:rsidRDefault="00E41AB9" w:rsidP="00E41AB9">
      <w:pPr>
        <w:spacing w:line="312" w:lineRule="auto"/>
        <w:ind w:left="3533" w:hanging="2115"/>
        <w:jc w:val="both"/>
        <w:rPr>
          <w:szCs w:val="24"/>
        </w:rPr>
      </w:pPr>
      <m:oMath>
        <m:r>
          <w:rPr>
            <w:rFonts w:ascii="Cambria Math" w:hAnsi="Cambria Math"/>
            <w:szCs w:val="24"/>
            <w:lang w:val="en-US"/>
          </w:rPr>
          <m:t>i</m:t>
        </m:r>
      </m:oMath>
      <w:r w:rsidRPr="005C3E39">
        <w:rPr>
          <w:szCs w:val="24"/>
        </w:rPr>
        <w:tab/>
        <w:t>- идентификатор выпуска долговой ценной бумаги эмитента, отличного от оцениваемого.</w:t>
      </w:r>
    </w:p>
    <w:p w14:paraId="6CC0B506" w14:textId="77777777" w:rsidR="00E41AB9" w:rsidRPr="005C3E39" w:rsidRDefault="00E41AB9" w:rsidP="00E41AB9">
      <w:pPr>
        <w:numPr>
          <w:ilvl w:val="0"/>
          <w:numId w:val="23"/>
        </w:numPr>
        <w:tabs>
          <w:tab w:val="left" w:pos="1134"/>
        </w:tabs>
        <w:spacing w:line="312" w:lineRule="auto"/>
        <w:ind w:left="1134" w:hanging="567"/>
        <w:jc w:val="both"/>
        <w:rPr>
          <w:rFonts w:eastAsia="Calibri"/>
          <w:szCs w:val="24"/>
        </w:rPr>
      </w:pPr>
      <w:r w:rsidRPr="005C3E39">
        <w:rPr>
          <w:rFonts w:eastAsia="Calibri"/>
          <w:szCs w:val="24"/>
        </w:rPr>
        <w:t>Если выпуску долговой ценной бумаги или эмитенту /поручителю этого выпуска присвоен рейтинг международным или национальным рейтинговым агентством, указанным в Таблице 1, то медианное значение кредитного спреда рассчитывается как среднее значение отклонений эффективной доходности к погашению (оферте) выпусков долговых ценных бумаг с таким же или близким кредитным рейтингом, рынок по которым признается активным и имеются наблюдаемые рыночные цены уровня 1, от Ставки КБД для средневзвешенного срока до погашения (оферты) соответствующего выпуска.</w:t>
      </w:r>
    </w:p>
    <w:p w14:paraId="37ED89A3" w14:textId="77777777" w:rsidR="00E41AB9" w:rsidRPr="005C3E39" w:rsidRDefault="00E41AB9" w:rsidP="00E41AB9">
      <w:pPr>
        <w:tabs>
          <w:tab w:val="left" w:pos="1134"/>
        </w:tabs>
        <w:spacing w:line="312" w:lineRule="auto"/>
        <w:ind w:left="1134"/>
        <w:jc w:val="both"/>
        <w:rPr>
          <w:rFonts w:eastAsia="Calibri"/>
          <w:szCs w:val="24"/>
        </w:rPr>
      </w:pPr>
      <w:r w:rsidRPr="005C3E39">
        <w:rPr>
          <w:rFonts w:eastAsia="Calibri"/>
          <w:szCs w:val="24"/>
        </w:rPr>
        <w:t>Близким кредитным рейтингом признается кредитный рейтинг, который отклоняется от кредитного рейтинга эмитента/выпуска/поручителя по выпуску на +/- одну кредитную ступень.</w:t>
      </w:r>
    </w:p>
    <w:p w14:paraId="2EC5FFC4" w14:textId="77777777" w:rsidR="00E41AB9" w:rsidRPr="005C3E39" w:rsidRDefault="002B470C" w:rsidP="00E41AB9">
      <w:pPr>
        <w:tabs>
          <w:tab w:val="left" w:pos="567"/>
        </w:tabs>
        <w:spacing w:line="312" w:lineRule="auto"/>
        <w:jc w:val="both"/>
        <w:rPr>
          <w:rFonts w:eastAsia="Calibri"/>
          <w:i/>
          <w:szCs w:val="24"/>
        </w:rPr>
      </w:pPr>
      <m:oMathPara>
        <m:oMath>
          <m:sSubSup>
            <m:sSubSupPr>
              <m:ctrlPr>
                <w:rPr>
                  <w:rFonts w:ascii="Cambria Math" w:eastAsia="Calibri" w:hAnsi="Cambria Math"/>
                  <w:i/>
                  <w:szCs w:val="24"/>
                </w:rPr>
              </m:ctrlPr>
            </m:sSubSupPr>
            <m:e>
              <m:r>
                <w:rPr>
                  <w:rFonts w:ascii="Cambria Math" w:eastAsia="Calibri" w:hAnsi="Cambria Math"/>
                  <w:szCs w:val="24"/>
                  <w:lang w:val="en-US"/>
                </w:rPr>
                <m:t>S</m:t>
              </m:r>
            </m:e>
            <m:sub>
              <m:r>
                <w:rPr>
                  <w:rFonts w:ascii="Cambria Math" w:eastAsia="Calibri" w:hAnsi="Cambria Math"/>
                  <w:szCs w:val="24"/>
                </w:rPr>
                <m:t>РГ</m:t>
              </m:r>
              <m:r>
                <w:rPr>
                  <w:rFonts w:ascii="Cambria Math" w:eastAsia="Calibri" w:hAnsi="Cambria Math"/>
                  <w:szCs w:val="24"/>
                  <w:lang w:val="en-US"/>
                </w:rPr>
                <m:t>IV</m:t>
              </m:r>
            </m:sub>
            <m:sup>
              <m:r>
                <w:rPr>
                  <w:rFonts w:ascii="Cambria Math" w:eastAsia="Calibri" w:hAnsi="Cambria Math"/>
                  <w:szCs w:val="24"/>
                </w:rPr>
                <m:t>m</m:t>
              </m:r>
            </m:sup>
          </m:sSubSup>
          <m:r>
            <w:rPr>
              <w:rFonts w:ascii="Cambria Math" w:eastAsia="Calibri" w:hAnsi="Cambria Math"/>
              <w:szCs w:val="24"/>
            </w:rPr>
            <m:t>=ОКРУГЛ</m:t>
          </m:r>
          <m:d>
            <m:dPr>
              <m:ctrlPr>
                <w:rPr>
                  <w:rFonts w:ascii="Cambria Math" w:eastAsia="Calibri" w:hAnsi="Cambria Math"/>
                  <w:i/>
                  <w:szCs w:val="24"/>
                </w:rPr>
              </m:ctrlPr>
            </m:dPr>
            <m:e>
              <m:r>
                <w:rPr>
                  <w:rFonts w:ascii="Cambria Math" w:eastAsia="Calibri" w:hAnsi="Cambria Math"/>
                  <w:szCs w:val="24"/>
                </w:rPr>
                <m:t>СРЗНАЧ</m:t>
              </m:r>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lang w:val="en-US"/>
                        </w:rPr>
                        <m:t>YTM</m:t>
                      </m:r>
                    </m:e>
                    <m:sub>
                      <m:r>
                        <w:rPr>
                          <w:rFonts w:ascii="Cambria Math" w:eastAsia="Calibri" w:hAnsi="Cambria Math"/>
                          <w:szCs w:val="24"/>
                        </w:rPr>
                        <m:t>j</m:t>
                      </m:r>
                    </m:sub>
                  </m:sSub>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КБД</m:t>
                      </m:r>
                    </m:e>
                    <m:sub>
                      <m:r>
                        <w:rPr>
                          <w:rFonts w:ascii="Cambria Math" w:eastAsia="Calibri" w:hAnsi="Cambria Math"/>
                          <w:szCs w:val="24"/>
                        </w:rPr>
                        <m:t>j</m:t>
                      </m:r>
                    </m:sub>
                  </m:sSub>
                </m:e>
              </m:d>
              <m:r>
                <w:rPr>
                  <w:rFonts w:ascii="Cambria Math" w:eastAsia="Calibri" w:hAnsi="Cambria Math"/>
                  <w:szCs w:val="24"/>
                </w:rPr>
                <m:t>,4</m:t>
              </m:r>
            </m:e>
          </m:d>
          <m:r>
            <w:rPr>
              <w:rFonts w:ascii="Cambria Math" w:eastAsia="Calibri" w:hAnsi="Cambria Math"/>
              <w:szCs w:val="24"/>
            </w:rPr>
            <m:t xml:space="preserve">×100,                                    </m:t>
          </m:r>
        </m:oMath>
      </m:oMathPara>
    </w:p>
    <w:p w14:paraId="7CF1DBF7" w14:textId="77777777" w:rsidR="00E41AB9" w:rsidRPr="005C3E39" w:rsidRDefault="00E41AB9" w:rsidP="00E41AB9">
      <w:pPr>
        <w:spacing w:line="312" w:lineRule="auto"/>
        <w:jc w:val="both"/>
        <w:rPr>
          <w:szCs w:val="24"/>
        </w:rPr>
      </w:pPr>
      <w:r w:rsidRPr="005C3E39">
        <w:rPr>
          <w:szCs w:val="24"/>
        </w:rPr>
        <w:t>Где:</w:t>
      </w:r>
      <w:r w:rsidRPr="005C3E39">
        <w:rPr>
          <w:szCs w:val="24"/>
        </w:rPr>
        <w:tab/>
      </w:r>
      <w:r w:rsidRPr="005C3E39">
        <w:rPr>
          <w:szCs w:val="24"/>
        </w:rPr>
        <w:tab/>
      </w:r>
      <w:r w:rsidRPr="005C3E39">
        <w:rPr>
          <w:szCs w:val="24"/>
        </w:rPr>
        <w:tab/>
      </w:r>
      <w:r w:rsidRPr="005C3E39">
        <w:rPr>
          <w:szCs w:val="24"/>
        </w:rPr>
        <w:tab/>
      </w:r>
    </w:p>
    <w:p w14:paraId="659083CC" w14:textId="77777777" w:rsidR="00E41AB9" w:rsidRPr="005C3E39" w:rsidRDefault="002B470C" w:rsidP="00E41AB9">
      <w:pPr>
        <w:spacing w:line="312" w:lineRule="auto"/>
        <w:ind w:left="3533" w:hanging="2115"/>
        <w:jc w:val="both"/>
        <w:rPr>
          <w:szCs w:val="24"/>
        </w:rPr>
      </w:pPr>
      <m:oMath>
        <m:sSubSup>
          <m:sSubSupPr>
            <m:ctrlPr>
              <w:rPr>
                <w:rFonts w:ascii="Cambria Math" w:eastAsia="Calibri" w:hAnsi="Cambria Math"/>
                <w:i/>
                <w:szCs w:val="24"/>
              </w:rPr>
            </m:ctrlPr>
          </m:sSubSupPr>
          <m:e>
            <m:r>
              <w:rPr>
                <w:rFonts w:ascii="Cambria Math" w:eastAsia="Calibri" w:hAnsi="Cambria Math"/>
                <w:szCs w:val="24"/>
                <w:lang w:val="en-US"/>
              </w:rPr>
              <m:t>S</m:t>
            </m:r>
          </m:e>
          <m:sub>
            <m:r>
              <w:rPr>
                <w:rFonts w:ascii="Cambria Math" w:eastAsia="Calibri" w:hAnsi="Cambria Math"/>
                <w:szCs w:val="24"/>
              </w:rPr>
              <m:t>РГ</m:t>
            </m:r>
            <m:r>
              <w:rPr>
                <w:rFonts w:ascii="Cambria Math" w:eastAsia="Calibri" w:hAnsi="Cambria Math"/>
                <w:szCs w:val="24"/>
                <w:lang w:val="en-US"/>
              </w:rPr>
              <m:t>IV</m:t>
            </m:r>
          </m:sub>
          <m:sup>
            <m:r>
              <w:rPr>
                <w:rFonts w:ascii="Cambria Math" w:eastAsia="Calibri" w:hAnsi="Cambria Math"/>
                <w:szCs w:val="24"/>
              </w:rPr>
              <m:t>m</m:t>
            </m:r>
          </m:sup>
        </m:sSubSup>
      </m:oMath>
      <w:r w:rsidR="00E41AB9" w:rsidRPr="005C3E39">
        <w:rPr>
          <w:szCs w:val="24"/>
        </w:rPr>
        <w:tab/>
      </w:r>
      <w:r w:rsidR="00E41AB9" w:rsidRPr="005C3E39">
        <w:rPr>
          <w:szCs w:val="24"/>
        </w:rPr>
        <w:tab/>
        <w:t xml:space="preserve">- медианное </w:t>
      </w:r>
      <w:r w:rsidR="00E41AB9" w:rsidRPr="005C3E39">
        <w:rPr>
          <w:rFonts w:eastAsia="Calibri"/>
          <w:szCs w:val="24"/>
        </w:rPr>
        <w:t>значение кредитного спреда, рассчитанные в базисных пунктах;</w:t>
      </w:r>
    </w:p>
    <w:p w14:paraId="741D06B1" w14:textId="77777777" w:rsidR="00E41AB9" w:rsidRPr="005C3E39" w:rsidRDefault="002B470C" w:rsidP="00E41AB9">
      <w:pPr>
        <w:spacing w:line="312" w:lineRule="auto"/>
        <w:ind w:left="3533" w:hanging="2115"/>
        <w:jc w:val="both"/>
        <w:rPr>
          <w:szCs w:val="24"/>
        </w:rPr>
      </w:pPr>
      <m:oMath>
        <m:sSub>
          <m:sSubPr>
            <m:ctrlPr>
              <w:rPr>
                <w:rFonts w:ascii="Cambria Math" w:eastAsia="Calibri" w:hAnsi="Cambria Math"/>
                <w:i/>
                <w:szCs w:val="24"/>
              </w:rPr>
            </m:ctrlPr>
          </m:sSubPr>
          <m:e>
            <m:r>
              <w:rPr>
                <w:rFonts w:ascii="Cambria Math" w:eastAsia="Calibri" w:hAnsi="Cambria Math"/>
                <w:szCs w:val="24"/>
                <w:lang w:val="en-US"/>
              </w:rPr>
              <m:t>YTM</m:t>
            </m:r>
          </m:e>
          <m:sub>
            <m:r>
              <w:rPr>
                <w:rFonts w:ascii="Cambria Math" w:eastAsia="Calibri" w:hAnsi="Cambria Math"/>
                <w:szCs w:val="24"/>
              </w:rPr>
              <m:t>j</m:t>
            </m:r>
          </m:sub>
        </m:sSub>
      </m:oMath>
      <w:r w:rsidR="00E41AB9" w:rsidRPr="005C3E39">
        <w:rPr>
          <w:szCs w:val="24"/>
        </w:rPr>
        <w:tab/>
      </w:r>
      <w:r w:rsidR="00E41AB9" w:rsidRPr="005C3E39">
        <w:rPr>
          <w:szCs w:val="24"/>
        </w:rPr>
        <w:tab/>
        <w:t xml:space="preserve">- </w:t>
      </w:r>
      <w:r w:rsidR="00E41AB9" w:rsidRPr="005C3E39">
        <w:rPr>
          <w:rFonts w:eastAsia="Calibri"/>
          <w:szCs w:val="24"/>
        </w:rPr>
        <w:t xml:space="preserve">эффективная доходность к погашению (оферте) по средневзвешенной цене </w:t>
      </w:r>
      <w:r w:rsidR="00E41AB9" w:rsidRPr="005C3E39">
        <w:rPr>
          <w:rFonts w:eastAsia="Calibri"/>
          <w:i/>
          <w:szCs w:val="24"/>
          <w:lang w:val="en-US"/>
        </w:rPr>
        <w:t>j</w:t>
      </w:r>
      <w:r w:rsidR="00E41AB9" w:rsidRPr="005C3E39">
        <w:rPr>
          <w:rFonts w:eastAsia="Calibri"/>
          <w:szCs w:val="24"/>
        </w:rPr>
        <w:t>-го выпуска долговой ценной бумаги, раскрытая Московской биржей</w:t>
      </w:r>
      <w:r w:rsidR="00E41AB9" w:rsidRPr="005C3E39">
        <w:rPr>
          <w:szCs w:val="24"/>
        </w:rPr>
        <w:t>;</w:t>
      </w:r>
    </w:p>
    <w:p w14:paraId="1896AF7C" w14:textId="77777777" w:rsidR="00E41AB9" w:rsidRPr="005C3E39" w:rsidRDefault="002B470C" w:rsidP="00E41AB9">
      <w:pPr>
        <w:spacing w:line="312" w:lineRule="auto"/>
        <w:ind w:left="3533" w:hanging="2115"/>
        <w:jc w:val="both"/>
        <w:rPr>
          <w:szCs w:val="24"/>
        </w:rPr>
      </w:pPr>
      <m:oMath>
        <m:sSub>
          <m:sSubPr>
            <m:ctrlPr>
              <w:rPr>
                <w:rFonts w:ascii="Cambria Math" w:hAnsi="Cambria Math"/>
                <w:i/>
                <w:szCs w:val="24"/>
              </w:rPr>
            </m:ctrlPr>
          </m:sSubPr>
          <m:e>
            <m:r>
              <w:rPr>
                <w:rFonts w:ascii="Cambria Math" w:hAnsi="Cambria Math"/>
                <w:szCs w:val="24"/>
              </w:rPr>
              <m:t>КБД</m:t>
            </m:r>
          </m:e>
          <m:sub>
            <m:r>
              <w:rPr>
                <w:rFonts w:ascii="Cambria Math" w:hAnsi="Cambria Math"/>
                <w:szCs w:val="24"/>
              </w:rPr>
              <m:t>j</m:t>
            </m:r>
          </m:sub>
        </m:sSub>
      </m:oMath>
      <w:r w:rsidR="00E41AB9" w:rsidRPr="005C3E39">
        <w:rPr>
          <w:szCs w:val="24"/>
        </w:rPr>
        <w:tab/>
        <w:t xml:space="preserve">- значение Ставки КБД в точке, соответствующей средневзвешенному сроку до погашения / оферты </w:t>
      </w:r>
      <w:r w:rsidR="00E41AB9" w:rsidRPr="005C3E39">
        <w:rPr>
          <w:i/>
          <w:szCs w:val="24"/>
          <w:lang w:val="en-US"/>
        </w:rPr>
        <w:t>j</w:t>
      </w:r>
      <w:r w:rsidR="00E41AB9" w:rsidRPr="005C3E39">
        <w:rPr>
          <w:rFonts w:eastAsia="Calibri"/>
          <w:szCs w:val="24"/>
        </w:rPr>
        <w:t>-го выпуска долговой ценной бумаги</w:t>
      </w:r>
      <w:r w:rsidR="00E41AB9" w:rsidRPr="005C3E39">
        <w:rPr>
          <w:szCs w:val="24"/>
        </w:rPr>
        <w:t>;</w:t>
      </w:r>
    </w:p>
    <w:p w14:paraId="67D6F333" w14:textId="77777777" w:rsidR="00E41AB9" w:rsidRPr="005C3E39" w:rsidRDefault="00E41AB9" w:rsidP="00E41AB9">
      <w:pPr>
        <w:spacing w:line="312" w:lineRule="auto"/>
        <w:ind w:left="3533" w:hanging="2115"/>
        <w:jc w:val="both"/>
        <w:rPr>
          <w:szCs w:val="24"/>
        </w:rPr>
      </w:pPr>
      <m:oMath>
        <m:r>
          <w:rPr>
            <w:rFonts w:ascii="Cambria Math" w:hAnsi="Cambria Math"/>
            <w:szCs w:val="24"/>
            <w:lang w:val="en-US"/>
          </w:rPr>
          <w:lastRenderedPageBreak/>
          <m:t>j</m:t>
        </m:r>
      </m:oMath>
      <w:r w:rsidRPr="005C3E39">
        <w:rPr>
          <w:szCs w:val="24"/>
        </w:rPr>
        <w:tab/>
        <w:t>- идентификатор выпуска долговой ценной бумаги, отличного от оцениваемого, с таким же или близким кредитным рейтингом.</w:t>
      </w:r>
    </w:p>
    <w:p w14:paraId="3C3CCC7C" w14:textId="77777777" w:rsidR="00E41AB9" w:rsidRPr="005C3E39" w:rsidRDefault="00E41AB9" w:rsidP="00E41AB9">
      <w:pPr>
        <w:pStyle w:val="a7"/>
        <w:numPr>
          <w:ilvl w:val="0"/>
          <w:numId w:val="23"/>
        </w:numPr>
        <w:tabs>
          <w:tab w:val="left" w:pos="1134"/>
        </w:tabs>
        <w:spacing w:after="0" w:line="312" w:lineRule="auto"/>
        <w:ind w:left="1134" w:hanging="567"/>
        <w:contextualSpacing w:val="0"/>
        <w:jc w:val="both"/>
        <w:rPr>
          <w:rFonts w:ascii="Times New Roman" w:hAnsi="Times New Roman"/>
          <w:sz w:val="24"/>
          <w:szCs w:val="24"/>
        </w:rPr>
      </w:pPr>
      <w:r w:rsidRPr="005C3E39">
        <w:rPr>
          <w:rFonts w:ascii="Times New Roman" w:hAnsi="Times New Roman"/>
          <w:sz w:val="24"/>
          <w:szCs w:val="24"/>
        </w:rPr>
        <w:t>При отсутствии рейтинга выпуска долговой ценной бумаги, эмитента / поручителя этого выпуска, присвоенного международным или национальным рейтинговым агентством, указанным в Таблице 1, медианное значение кредитного спреда рассчитывается:</w:t>
      </w:r>
    </w:p>
    <w:p w14:paraId="037D8C8A" w14:textId="77777777" w:rsidR="00E41AB9" w:rsidRPr="005C3E39" w:rsidRDefault="00E41AB9" w:rsidP="00E41AB9">
      <w:pPr>
        <w:pStyle w:val="a7"/>
        <w:numPr>
          <w:ilvl w:val="1"/>
          <w:numId w:val="23"/>
        </w:numPr>
        <w:tabs>
          <w:tab w:val="left" w:pos="1134"/>
        </w:tabs>
        <w:spacing w:after="0" w:line="312" w:lineRule="auto"/>
        <w:contextualSpacing w:val="0"/>
        <w:jc w:val="both"/>
        <w:rPr>
          <w:rFonts w:ascii="Times New Roman" w:hAnsi="Times New Roman"/>
          <w:sz w:val="24"/>
          <w:szCs w:val="24"/>
        </w:rPr>
      </w:pPr>
      <w:r w:rsidRPr="005C3E39">
        <w:rPr>
          <w:rFonts w:ascii="Times New Roman" w:hAnsi="Times New Roman"/>
          <w:sz w:val="24"/>
          <w:szCs w:val="24"/>
        </w:rPr>
        <w:t>как отклонение эффективной доходности к погашению (оферте) выпуска долговой ценной бумаги аналогичного кредитного качества, рынок по которому признается активным и имеются рыночные цены уровня 1 иерархии справедливой стоимости, от Ставки КБД для средневзвешенного срока до погашения (оферты) соответствующего выпуска.</w:t>
      </w:r>
    </w:p>
    <w:p w14:paraId="0285354C" w14:textId="77777777" w:rsidR="00E41AB9" w:rsidRPr="005C3E39" w:rsidRDefault="00E41AB9" w:rsidP="00E41AB9">
      <w:pPr>
        <w:pStyle w:val="a7"/>
        <w:tabs>
          <w:tab w:val="left" w:pos="1134"/>
        </w:tabs>
        <w:spacing w:after="0" w:line="312" w:lineRule="auto"/>
        <w:ind w:left="1440"/>
        <w:contextualSpacing w:val="0"/>
        <w:jc w:val="both"/>
        <w:rPr>
          <w:rFonts w:ascii="Times New Roman" w:hAnsi="Times New Roman"/>
          <w:sz w:val="24"/>
          <w:szCs w:val="24"/>
        </w:rPr>
      </w:pPr>
      <w:r w:rsidRPr="005C3E39">
        <w:rPr>
          <w:rFonts w:ascii="Times New Roman" w:hAnsi="Times New Roman"/>
          <w:sz w:val="24"/>
          <w:szCs w:val="24"/>
        </w:rPr>
        <w:t>Аналогичное кредитное качество может определяться на основании присвоенного кредитного рейтинга исходя из внутренней методики определения величины кредитного риска.</w:t>
      </w:r>
    </w:p>
    <w:p w14:paraId="4B5A49B3" w14:textId="77777777" w:rsidR="00E41AB9" w:rsidRPr="005C3E39" w:rsidRDefault="00E41AB9" w:rsidP="00E41AB9">
      <w:pPr>
        <w:pStyle w:val="a7"/>
        <w:numPr>
          <w:ilvl w:val="1"/>
          <w:numId w:val="23"/>
        </w:numPr>
        <w:tabs>
          <w:tab w:val="left" w:pos="1134"/>
        </w:tabs>
        <w:spacing w:after="0" w:line="312" w:lineRule="auto"/>
        <w:contextualSpacing w:val="0"/>
        <w:jc w:val="both"/>
        <w:rPr>
          <w:rFonts w:ascii="Times New Roman" w:hAnsi="Times New Roman"/>
          <w:sz w:val="24"/>
          <w:szCs w:val="24"/>
        </w:rPr>
      </w:pPr>
      <w:r w:rsidRPr="005C3E39">
        <w:rPr>
          <w:rFonts w:ascii="Times New Roman" w:hAnsi="Times New Roman"/>
          <w:sz w:val="24"/>
          <w:szCs w:val="24"/>
        </w:rPr>
        <w:t xml:space="preserve">как медианное значение кредитного спреда, рассчитанного для III рейтинговой группы, увеличенное на величину </w:t>
      </w:r>
      <m:oMath>
        <m:r>
          <w:rPr>
            <w:rFonts w:ascii="Cambria Math" w:hAnsi="Cambria Math"/>
            <w:sz w:val="24"/>
            <w:szCs w:val="24"/>
          </w:rPr>
          <m:t>∆</m:t>
        </m:r>
        <m:r>
          <w:rPr>
            <w:rFonts w:ascii="Cambria Math" w:hAnsi="Cambria Math"/>
            <w:sz w:val="24"/>
            <w:szCs w:val="24"/>
            <w:lang w:val="en-US"/>
          </w:rPr>
          <m:t>FD</m:t>
        </m:r>
      </m:oMath>
      <w:r w:rsidRPr="005C3E39">
        <w:rPr>
          <w:rFonts w:ascii="Times New Roman" w:hAnsi="Times New Roman"/>
          <w:sz w:val="24"/>
          <w:szCs w:val="24"/>
        </w:rPr>
        <w:t>.</w:t>
      </w:r>
    </w:p>
    <w:p w14:paraId="61CA2E7F" w14:textId="77777777" w:rsidR="00E41AB9" w:rsidRPr="005C3E39" w:rsidRDefault="00E41AB9" w:rsidP="00E41AB9">
      <w:pPr>
        <w:pStyle w:val="a7"/>
        <w:tabs>
          <w:tab w:val="left" w:pos="1134"/>
        </w:tabs>
        <w:spacing w:after="0" w:line="312" w:lineRule="auto"/>
        <w:ind w:left="1440"/>
        <w:contextualSpacing w:val="0"/>
        <w:jc w:val="both"/>
        <w:rPr>
          <w:rFonts w:ascii="Times New Roman" w:hAnsi="Times New Roman"/>
          <w:sz w:val="24"/>
          <w:szCs w:val="24"/>
        </w:rPr>
      </w:pPr>
      <w:r w:rsidRPr="005C3E39">
        <w:rPr>
          <w:rFonts w:ascii="Times New Roman" w:hAnsi="Times New Roman"/>
          <w:sz w:val="24"/>
          <w:szCs w:val="24"/>
        </w:rPr>
        <w:t xml:space="preserve">Величина </w:t>
      </w:r>
      <m:oMath>
        <m:r>
          <w:rPr>
            <w:rFonts w:ascii="Cambria Math" w:hAnsi="Cambria Math"/>
            <w:sz w:val="24"/>
            <w:szCs w:val="24"/>
          </w:rPr>
          <m:t>∆</m:t>
        </m:r>
        <m:r>
          <w:rPr>
            <w:rFonts w:ascii="Cambria Math" w:hAnsi="Cambria Math"/>
            <w:sz w:val="24"/>
            <w:szCs w:val="24"/>
            <w:lang w:val="en-US"/>
          </w:rPr>
          <m:t>FD</m:t>
        </m:r>
      </m:oMath>
      <w:r w:rsidRPr="005C3E39">
        <w:rPr>
          <w:rFonts w:ascii="Times New Roman" w:hAnsi="Times New Roman"/>
          <w:sz w:val="24"/>
          <w:szCs w:val="24"/>
        </w:rPr>
        <w:t xml:space="preserve"> ежегодно определяется как разница между средним значением частоты дефолтов</w:t>
      </w:r>
      <w:r w:rsidRPr="005C3E39">
        <w:rPr>
          <w:rStyle w:val="af1"/>
        </w:rPr>
        <w:footnoteReference w:id="4"/>
      </w:r>
      <w:r w:rsidRPr="005C3E39">
        <w:rPr>
          <w:rFonts w:ascii="Times New Roman" w:hAnsi="Times New Roman"/>
          <w:sz w:val="24"/>
          <w:szCs w:val="24"/>
        </w:rPr>
        <w:t xml:space="preserve"> выпусков долговых ценных бумаг российских эмитентов, отнесенных к рейтинговой группе IV, и средним значением частоты дефолтов выпусков долговых ценных бумаг российских эмитентов, отнесенных к рейтинговой группе III.</w:t>
      </w:r>
    </w:p>
    <w:p w14:paraId="2466A025" w14:textId="77777777" w:rsidR="00E41AB9" w:rsidRPr="005C3E39" w:rsidRDefault="00E41AB9" w:rsidP="00E41AB9">
      <w:pPr>
        <w:pStyle w:val="a7"/>
        <w:tabs>
          <w:tab w:val="left" w:pos="1134"/>
        </w:tabs>
        <w:spacing w:line="312" w:lineRule="auto"/>
        <w:ind w:left="1440"/>
        <w:contextualSpacing w:val="0"/>
        <w:jc w:val="both"/>
        <w:rPr>
          <w:rFonts w:ascii="Times New Roman" w:hAnsi="Times New Roman"/>
          <w:sz w:val="24"/>
          <w:szCs w:val="24"/>
        </w:rPr>
      </w:pPr>
      <w:r w:rsidRPr="005C3E39">
        <w:rPr>
          <w:rFonts w:ascii="Times New Roman" w:hAnsi="Times New Roman"/>
          <w:sz w:val="24"/>
          <w:szCs w:val="24"/>
        </w:rPr>
        <w:t>Среднее значение частоты дефолтов выпусков долговых ценных бумаг, отнесенных к соответствующей рейтинговой группе, определяется по формуле:</w:t>
      </w:r>
    </w:p>
    <w:p w14:paraId="101A7566" w14:textId="77777777" w:rsidR="00E41AB9" w:rsidRPr="005C3E39" w:rsidRDefault="00E41AB9" w:rsidP="00E41AB9">
      <w:pPr>
        <w:spacing w:line="312" w:lineRule="auto"/>
        <w:ind w:left="2124" w:firstLine="708"/>
        <w:rPr>
          <w:i/>
          <w:szCs w:val="24"/>
        </w:rPr>
      </w:pPr>
      <m:oMathPara>
        <m:oMathParaPr>
          <m:jc m:val="center"/>
        </m:oMathParaPr>
        <m:oMath>
          <m:r>
            <w:rPr>
              <w:rFonts w:ascii="Cambria Math" w:hAnsi="Cambria Math"/>
              <w:szCs w:val="24"/>
              <w:lang w:val="en-US"/>
            </w:rPr>
            <m:t>FD</m:t>
          </m:r>
          <m:r>
            <w:rPr>
              <w:rFonts w:ascii="Cambria Math" w:hAnsi="Cambria Math"/>
              <w:szCs w:val="24"/>
            </w:rPr>
            <m:t>=СРЗНАЧ</m:t>
          </m:r>
          <m:d>
            <m:dPr>
              <m:ctrlPr>
                <w:rPr>
                  <w:rFonts w:ascii="Cambria Math" w:hAnsi="Cambria Math"/>
                  <w:i/>
                  <w:szCs w:val="24"/>
                </w:rPr>
              </m:ctrlPr>
            </m:dPr>
            <m:e>
              <m:nary>
                <m:naryPr>
                  <m:chr m:val="∑"/>
                  <m:limLoc m:val="undOvr"/>
                  <m:ctrlPr>
                    <w:rPr>
                      <w:rFonts w:ascii="Cambria Math" w:hAnsi="Cambria Math"/>
                      <w:i/>
                      <w:szCs w:val="24"/>
                    </w:rPr>
                  </m:ctrlPr>
                </m:naryPr>
                <m:sub>
                  <m:r>
                    <w:rPr>
                      <w:rFonts w:ascii="Cambria Math" w:hAnsi="Cambria Math"/>
                      <w:szCs w:val="24"/>
                    </w:rPr>
                    <m:t>n</m:t>
                  </m:r>
                </m:sub>
                <m:sup>
                  <m:r>
                    <w:rPr>
                      <w:rFonts w:ascii="Cambria Math" w:hAnsi="Cambria Math"/>
                      <w:szCs w:val="24"/>
                    </w:rPr>
                    <m:t>N</m:t>
                  </m:r>
                </m:sup>
                <m:e>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IS</m:t>
                          </m:r>
                        </m:e>
                        <m:sup>
                          <m:r>
                            <w:rPr>
                              <w:rFonts w:ascii="Cambria Math" w:hAnsi="Cambria Math"/>
                              <w:szCs w:val="24"/>
                            </w:rPr>
                            <m:t>D</m:t>
                          </m:r>
                        </m:sup>
                      </m:sSup>
                    </m:num>
                    <m:den>
                      <m:r>
                        <w:rPr>
                          <w:rFonts w:ascii="Cambria Math" w:hAnsi="Cambria Math"/>
                          <w:szCs w:val="24"/>
                        </w:rPr>
                        <m:t>IS</m:t>
                      </m:r>
                    </m:den>
                  </m:f>
                </m:e>
              </m:nary>
            </m:e>
          </m:d>
          <m:r>
            <w:rPr>
              <w:rFonts w:ascii="Cambria Math" w:hAnsi="Cambria Math"/>
              <w:szCs w:val="24"/>
            </w:rPr>
            <m:t xml:space="preserve">,                                                      </m:t>
          </m:r>
        </m:oMath>
      </m:oMathPara>
    </w:p>
    <w:p w14:paraId="6216883E" w14:textId="77777777" w:rsidR="00E41AB9" w:rsidRPr="005C3E39" w:rsidRDefault="00E41AB9" w:rsidP="00E41AB9">
      <w:pPr>
        <w:spacing w:line="312" w:lineRule="auto"/>
        <w:ind w:left="708" w:firstLine="708"/>
        <w:rPr>
          <w:szCs w:val="24"/>
        </w:rPr>
      </w:pPr>
      <w:r w:rsidRPr="005C3E39">
        <w:rPr>
          <w:szCs w:val="24"/>
        </w:rPr>
        <w:t>где:</w:t>
      </w:r>
    </w:p>
    <w:p w14:paraId="1575A996" w14:textId="77777777" w:rsidR="00E41AB9" w:rsidRPr="005C3E39" w:rsidRDefault="002B470C" w:rsidP="00E41AB9">
      <w:pPr>
        <w:spacing w:line="312" w:lineRule="auto"/>
        <w:ind w:left="2269" w:hanging="851"/>
        <w:jc w:val="both"/>
        <w:rPr>
          <w:szCs w:val="24"/>
        </w:rPr>
      </w:pPr>
      <m:oMath>
        <m:sSup>
          <m:sSupPr>
            <m:ctrlPr>
              <w:rPr>
                <w:rFonts w:ascii="Cambria Math" w:hAnsi="Cambria Math"/>
                <w:i/>
                <w:szCs w:val="24"/>
              </w:rPr>
            </m:ctrlPr>
          </m:sSupPr>
          <m:e>
            <m:r>
              <w:rPr>
                <w:rFonts w:ascii="Cambria Math" w:hAnsi="Cambria Math"/>
                <w:szCs w:val="24"/>
              </w:rPr>
              <m:t>IS</m:t>
            </m:r>
          </m:e>
          <m:sup>
            <m:r>
              <w:rPr>
                <w:rFonts w:ascii="Cambria Math" w:hAnsi="Cambria Math"/>
                <w:szCs w:val="24"/>
              </w:rPr>
              <m:t>D</m:t>
            </m:r>
          </m:sup>
        </m:sSup>
      </m:oMath>
      <w:r w:rsidR="00E41AB9" w:rsidRPr="005C3E39">
        <w:rPr>
          <w:szCs w:val="24"/>
        </w:rPr>
        <w:tab/>
        <w:t>- количество российских эмитентов выпусков долговых ценных бумаг, отнесенных в соответствии с Таблицей 1 к соответствующей рейтинговой группе, допустивших дефолт хотя бы одного обязательства, предусмотренного хотя бы одним выпуском долговых ценных бумаг в течение соответствующего периода (года) наблюдения;</w:t>
      </w:r>
    </w:p>
    <w:p w14:paraId="5DF7AB05" w14:textId="77777777" w:rsidR="00E41AB9" w:rsidRPr="005C3E39" w:rsidRDefault="00E41AB9" w:rsidP="00E41AB9">
      <w:pPr>
        <w:spacing w:line="312" w:lineRule="auto"/>
        <w:ind w:left="2269" w:hanging="851"/>
        <w:jc w:val="both"/>
        <w:rPr>
          <w:szCs w:val="24"/>
        </w:rPr>
      </w:pPr>
      <m:oMath>
        <m:r>
          <w:rPr>
            <w:rFonts w:ascii="Cambria Math" w:hAnsi="Cambria Math"/>
            <w:szCs w:val="24"/>
          </w:rPr>
          <m:t>IS</m:t>
        </m:r>
      </m:oMath>
      <w:r w:rsidRPr="005C3E39">
        <w:rPr>
          <w:szCs w:val="24"/>
        </w:rPr>
        <w:tab/>
        <w:t>- количество российских эмитентов выпусков долговых ценных бумаг, отнесенных в соответствии с Таблицей 1 к соответствующей рейтинговой группе;</w:t>
      </w:r>
    </w:p>
    <w:p w14:paraId="0168BC42" w14:textId="77777777" w:rsidR="00E41AB9" w:rsidRPr="005C3E39" w:rsidRDefault="00E41AB9" w:rsidP="00E41AB9">
      <w:pPr>
        <w:spacing w:line="312" w:lineRule="auto"/>
        <w:ind w:left="2269" w:hanging="851"/>
        <w:jc w:val="both"/>
        <w:rPr>
          <w:szCs w:val="24"/>
        </w:rPr>
      </w:pPr>
      <w:r w:rsidRPr="005C3E39">
        <w:rPr>
          <w:i/>
          <w:szCs w:val="24"/>
        </w:rPr>
        <w:t>n</w:t>
      </w:r>
      <w:r w:rsidRPr="005C3E39">
        <w:rPr>
          <w:szCs w:val="24"/>
        </w:rPr>
        <w:tab/>
        <w:t>- порядковый номер периода (года) наблюдения, принадлежащий множеству N;</w:t>
      </w:r>
    </w:p>
    <w:p w14:paraId="2A0AD07F" w14:textId="77777777" w:rsidR="00E41AB9" w:rsidRPr="005C3E39" w:rsidRDefault="00E41AB9" w:rsidP="00E41AB9">
      <w:pPr>
        <w:spacing w:line="312" w:lineRule="auto"/>
        <w:ind w:left="2268" w:hanging="850"/>
        <w:jc w:val="both"/>
        <w:rPr>
          <w:szCs w:val="24"/>
        </w:rPr>
      </w:pPr>
      <w:r w:rsidRPr="005C3E39">
        <w:rPr>
          <w:i/>
          <w:szCs w:val="24"/>
        </w:rPr>
        <w:lastRenderedPageBreak/>
        <w:t>N</w:t>
      </w:r>
      <w:r w:rsidRPr="005C3E39">
        <w:rPr>
          <w:szCs w:val="24"/>
        </w:rPr>
        <w:tab/>
        <w:t>- количество периодов наблюдения, лет.</w:t>
      </w:r>
    </w:p>
    <w:p w14:paraId="7BED6B88" w14:textId="77777777" w:rsidR="00E41AB9" w:rsidRPr="005C3E39" w:rsidRDefault="00E41AB9" w:rsidP="00E41AB9">
      <w:pPr>
        <w:pStyle w:val="a7"/>
        <w:tabs>
          <w:tab w:val="left" w:pos="1134"/>
        </w:tabs>
        <w:spacing w:after="0" w:line="312" w:lineRule="auto"/>
        <w:ind w:left="1440"/>
        <w:contextualSpacing w:val="0"/>
        <w:jc w:val="both"/>
        <w:rPr>
          <w:rFonts w:ascii="Times New Roman" w:hAnsi="Times New Roman"/>
          <w:sz w:val="24"/>
          <w:szCs w:val="24"/>
        </w:rPr>
      </w:pPr>
      <w:r w:rsidRPr="005C3E39">
        <w:rPr>
          <w:rFonts w:ascii="Times New Roman" w:hAnsi="Times New Roman"/>
          <w:sz w:val="24"/>
          <w:szCs w:val="24"/>
        </w:rPr>
        <w:t xml:space="preserve">Результат расчета </w:t>
      </w:r>
      <w:r w:rsidRPr="005C3E39">
        <w:rPr>
          <w:rFonts w:ascii="Times New Roman" w:hAnsi="Times New Roman"/>
          <w:sz w:val="24"/>
          <w:szCs w:val="24"/>
          <w:lang w:val="en-US"/>
        </w:rPr>
        <w:t>FD</w:t>
      </w:r>
      <w:r w:rsidRPr="005C3E39">
        <w:rPr>
          <w:rFonts w:ascii="Times New Roman" w:hAnsi="Times New Roman"/>
          <w:sz w:val="24"/>
          <w:szCs w:val="24"/>
        </w:rPr>
        <w:t xml:space="preserve"> округляется по правилам математического округления до целого значения.</w:t>
      </w:r>
    </w:p>
    <w:p w14:paraId="5E432C1D" w14:textId="77777777" w:rsidR="00E41AB9" w:rsidRPr="005C3E39" w:rsidRDefault="00E41AB9" w:rsidP="00E41AB9">
      <w:pPr>
        <w:spacing w:line="312" w:lineRule="auto"/>
        <w:contextualSpacing/>
        <w:jc w:val="both"/>
        <w:rPr>
          <w:szCs w:val="24"/>
        </w:rPr>
      </w:pPr>
    </w:p>
    <w:p w14:paraId="520045C0" w14:textId="77777777" w:rsidR="00E41AB9" w:rsidRPr="005C3E39" w:rsidRDefault="00E41AB9" w:rsidP="00E41AB9">
      <w:pPr>
        <w:pStyle w:val="a7"/>
        <w:numPr>
          <w:ilvl w:val="0"/>
          <w:numId w:val="24"/>
        </w:numPr>
        <w:spacing w:after="0" w:line="312" w:lineRule="auto"/>
        <w:jc w:val="both"/>
        <w:rPr>
          <w:rFonts w:ascii="Times New Roman" w:hAnsi="Times New Roman"/>
          <w:b/>
          <w:sz w:val="24"/>
          <w:szCs w:val="24"/>
        </w:rPr>
      </w:pPr>
      <w:r w:rsidRPr="005C3E39">
        <w:rPr>
          <w:rFonts w:ascii="Times New Roman" w:hAnsi="Times New Roman"/>
          <w:b/>
          <w:sz w:val="24"/>
          <w:szCs w:val="24"/>
        </w:rPr>
        <w:t>Порядок определения диапазона кредитных спредов для рейтинговых групп</w:t>
      </w:r>
    </w:p>
    <w:p w14:paraId="6F80C232" w14:textId="24344F26" w:rsidR="00E41AB9" w:rsidRPr="005C3E39" w:rsidRDefault="00E41AB9" w:rsidP="00E41AB9">
      <w:pPr>
        <w:spacing w:line="312" w:lineRule="auto"/>
        <w:ind w:firstLine="708"/>
        <w:contextualSpacing/>
        <w:jc w:val="both"/>
        <w:rPr>
          <w:szCs w:val="24"/>
        </w:rPr>
      </w:pPr>
      <w:r w:rsidRPr="005C3E39">
        <w:rPr>
          <w:szCs w:val="24"/>
        </w:rPr>
        <w:t>Выбор диапазонов кредитных спредов для рейтинговых групп I, II, III основывается на следующем:</w:t>
      </w:r>
    </w:p>
    <w:p w14:paraId="39A6E423" w14:textId="77777777" w:rsidR="00E41AB9" w:rsidRPr="005C3E39" w:rsidRDefault="00E41AB9" w:rsidP="00E41AB9">
      <w:pPr>
        <w:numPr>
          <w:ilvl w:val="0"/>
          <w:numId w:val="25"/>
        </w:numPr>
        <w:spacing w:line="312" w:lineRule="auto"/>
        <w:ind w:left="1134" w:hanging="425"/>
        <w:contextualSpacing/>
        <w:jc w:val="both"/>
        <w:rPr>
          <w:rFonts w:eastAsia="Calibri"/>
          <w:szCs w:val="24"/>
        </w:rPr>
      </w:pPr>
      <w:r w:rsidRPr="005C3E39">
        <w:rPr>
          <w:rFonts w:eastAsia="Calibri"/>
          <w:szCs w:val="24"/>
        </w:rPr>
        <w:t>медианное значение кредитного спреда определяется в порядке, предусмотренном настоящим Регламентом;</w:t>
      </w:r>
    </w:p>
    <w:p w14:paraId="528AE2D0" w14:textId="77777777" w:rsidR="00E41AB9" w:rsidRPr="005C3E39" w:rsidRDefault="00E41AB9" w:rsidP="00E41AB9">
      <w:pPr>
        <w:numPr>
          <w:ilvl w:val="0"/>
          <w:numId w:val="25"/>
        </w:numPr>
        <w:spacing w:line="312" w:lineRule="auto"/>
        <w:ind w:left="1134" w:hanging="425"/>
        <w:contextualSpacing/>
        <w:jc w:val="both"/>
        <w:rPr>
          <w:rFonts w:eastAsia="Calibri"/>
          <w:szCs w:val="24"/>
        </w:rPr>
      </w:pPr>
      <w:r w:rsidRPr="005C3E39">
        <w:rPr>
          <w:rFonts w:eastAsia="Calibri"/>
          <w:szCs w:val="24"/>
        </w:rPr>
        <w:t>нижняя граница для I-ой рейтинговой группы принимается равной 0, так как доходность облигаций I-ой рейтинговой группы не должна быть ниже средней доходности государственных бумаг;</w:t>
      </w:r>
    </w:p>
    <w:p w14:paraId="352C2612" w14:textId="77777777" w:rsidR="00E41AB9" w:rsidRPr="005C3E39" w:rsidRDefault="00E41AB9" w:rsidP="00E41AB9">
      <w:pPr>
        <w:numPr>
          <w:ilvl w:val="0"/>
          <w:numId w:val="25"/>
        </w:numPr>
        <w:spacing w:line="312" w:lineRule="auto"/>
        <w:ind w:left="1134" w:hanging="425"/>
        <w:contextualSpacing/>
        <w:jc w:val="both"/>
        <w:rPr>
          <w:rFonts w:eastAsia="Calibri"/>
          <w:szCs w:val="24"/>
        </w:rPr>
      </w:pPr>
      <w:r w:rsidRPr="005C3E39">
        <w:rPr>
          <w:rFonts w:eastAsia="Calibri"/>
          <w:szCs w:val="24"/>
        </w:rPr>
        <w:t>нижняя граница для II-ой рейтинговой группы устанавливается равной медианному значению I-ой рейтинговой группы, так как доходность облигаций II-ой рейтинговой группы не должна быть ниже средней доходности облигаций I-ой рейтинговой группы;</w:t>
      </w:r>
    </w:p>
    <w:p w14:paraId="79BD5894" w14:textId="77777777" w:rsidR="00E41AB9" w:rsidRPr="005C3E39" w:rsidRDefault="00E41AB9" w:rsidP="00E41AB9">
      <w:pPr>
        <w:numPr>
          <w:ilvl w:val="0"/>
          <w:numId w:val="25"/>
        </w:numPr>
        <w:spacing w:line="312" w:lineRule="auto"/>
        <w:ind w:left="1134" w:hanging="425"/>
        <w:contextualSpacing/>
        <w:jc w:val="both"/>
        <w:rPr>
          <w:rFonts w:eastAsia="Calibri"/>
          <w:szCs w:val="24"/>
        </w:rPr>
      </w:pPr>
      <w:r w:rsidRPr="005C3E39">
        <w:rPr>
          <w:rFonts w:eastAsia="Calibri"/>
          <w:szCs w:val="24"/>
        </w:rPr>
        <w:t>нижняя граница для I</w:t>
      </w:r>
      <w:r w:rsidRPr="005C3E39">
        <w:rPr>
          <w:rFonts w:eastAsia="Calibri"/>
          <w:szCs w:val="24"/>
          <w:lang w:val="en-US"/>
        </w:rPr>
        <w:t>I</w:t>
      </w:r>
      <w:r w:rsidRPr="005C3E39">
        <w:rPr>
          <w:rFonts w:eastAsia="Calibri"/>
          <w:szCs w:val="24"/>
        </w:rPr>
        <w:t xml:space="preserve">I-ей рейтинговой группы устанавливается равной медианному значению </w:t>
      </w:r>
      <w:r w:rsidRPr="005C3E39">
        <w:rPr>
          <w:rFonts w:eastAsia="Calibri"/>
          <w:szCs w:val="24"/>
          <w:lang w:val="en-US"/>
        </w:rPr>
        <w:t>I</w:t>
      </w:r>
      <w:r w:rsidRPr="005C3E39">
        <w:rPr>
          <w:rFonts w:eastAsia="Calibri"/>
          <w:szCs w:val="24"/>
        </w:rPr>
        <w:t>I-ой рейтинговой группы, так как доходность облигаций I</w:t>
      </w:r>
      <w:r w:rsidRPr="005C3E39">
        <w:rPr>
          <w:rFonts w:eastAsia="Calibri"/>
          <w:szCs w:val="24"/>
          <w:lang w:val="en-US"/>
        </w:rPr>
        <w:t>I</w:t>
      </w:r>
      <w:r w:rsidRPr="005C3E39">
        <w:rPr>
          <w:rFonts w:eastAsia="Calibri"/>
          <w:szCs w:val="24"/>
        </w:rPr>
        <w:t>I-ей рейтинговой группы не должна быть ниже средней доходности облигаций I</w:t>
      </w:r>
      <w:r w:rsidRPr="005C3E39">
        <w:rPr>
          <w:rFonts w:eastAsia="Calibri"/>
          <w:szCs w:val="24"/>
          <w:lang w:val="en-US"/>
        </w:rPr>
        <w:t>I</w:t>
      </w:r>
      <w:r w:rsidRPr="005C3E39">
        <w:rPr>
          <w:rFonts w:eastAsia="Calibri"/>
          <w:szCs w:val="24"/>
        </w:rPr>
        <w:t>-ой рейтинговой группы;</w:t>
      </w:r>
    </w:p>
    <w:p w14:paraId="6FFC1003" w14:textId="77777777" w:rsidR="00E41AB9" w:rsidRPr="005C3E39" w:rsidRDefault="00E41AB9" w:rsidP="00E41AB9">
      <w:pPr>
        <w:numPr>
          <w:ilvl w:val="0"/>
          <w:numId w:val="25"/>
        </w:numPr>
        <w:spacing w:line="312" w:lineRule="auto"/>
        <w:ind w:left="1134" w:hanging="425"/>
        <w:jc w:val="both"/>
        <w:rPr>
          <w:szCs w:val="24"/>
        </w:rPr>
      </w:pPr>
      <w:r w:rsidRPr="005C3E39">
        <w:rPr>
          <w:rFonts w:eastAsia="Calibri"/>
          <w:szCs w:val="24"/>
        </w:rPr>
        <w:t>верхняя граница рейтинговой группы устанавливается таким образом, чтобы диапазон между нижней границей и медианой был равен диапазону между медианой и верхней</w:t>
      </w:r>
      <w:r w:rsidRPr="005C3E39">
        <w:rPr>
          <w:szCs w:val="24"/>
        </w:rPr>
        <w:t xml:space="preserve"> границей рейтинговой группы.</w:t>
      </w:r>
    </w:p>
    <w:p w14:paraId="33FF32CF" w14:textId="77777777" w:rsidR="00E41AB9" w:rsidRPr="005C3E39" w:rsidRDefault="00E41AB9" w:rsidP="00E41AB9">
      <w:pPr>
        <w:spacing w:line="312" w:lineRule="auto"/>
        <w:ind w:left="708"/>
        <w:jc w:val="both"/>
        <w:rPr>
          <w:rFonts w:eastAsia="Calibri"/>
          <w:b/>
          <w:szCs w:val="24"/>
        </w:rPr>
      </w:pPr>
    </w:p>
    <w:p w14:paraId="604D0271" w14:textId="77777777" w:rsidR="00E41AB9" w:rsidRPr="005C3E39" w:rsidRDefault="00E41AB9" w:rsidP="00E41AB9">
      <w:pPr>
        <w:spacing w:line="312" w:lineRule="auto"/>
        <w:ind w:firstLine="708"/>
        <w:jc w:val="both"/>
        <w:rPr>
          <w:rFonts w:eastAsia="Calibri"/>
          <w:szCs w:val="24"/>
        </w:rPr>
      </w:pPr>
      <w:r w:rsidRPr="005C3E39">
        <w:rPr>
          <w:rFonts w:eastAsia="Calibri"/>
          <w:szCs w:val="24"/>
        </w:rPr>
        <w:t>Расчет диапазона кредитных спредов (минимального</w:t>
      </w:r>
      <w:r w:rsidRPr="005C3E39">
        <w:rPr>
          <w:rFonts w:eastAsia="Calibri"/>
          <w:b/>
          <w:szCs w:val="24"/>
        </w:rPr>
        <w:t xml:space="preserve"> </w:t>
      </w:r>
      <w:r w:rsidRPr="005C3E39">
        <w:rPr>
          <w:rFonts w:eastAsia="Calibri"/>
          <w:szCs w:val="24"/>
        </w:rPr>
        <w:t xml:space="preserve">значения кредитного спреда - </w:t>
      </w:r>
      <w:r w:rsidRPr="005C3E39">
        <w:rPr>
          <w:rFonts w:eastAsia="Calibri"/>
          <w:szCs w:val="24"/>
          <w:lang w:val="en-US"/>
        </w:rPr>
        <w:t>Min</w:t>
      </w:r>
      <w:r w:rsidRPr="005C3E39">
        <w:rPr>
          <w:rFonts w:eastAsia="Calibri"/>
          <w:szCs w:val="24"/>
        </w:rPr>
        <w:t xml:space="preserve">(α), максимального значения кредитного спреда - </w:t>
      </w:r>
      <w:r w:rsidRPr="005C3E39">
        <w:rPr>
          <w:rFonts w:eastAsia="Calibri"/>
          <w:szCs w:val="24"/>
          <w:lang w:val="en-US"/>
        </w:rPr>
        <w:t>Max</w:t>
      </w:r>
      <w:r w:rsidRPr="005C3E39">
        <w:rPr>
          <w:rFonts w:eastAsia="Calibri"/>
          <w:szCs w:val="24"/>
        </w:rPr>
        <w:t xml:space="preserve"> (β)) выполняется для </w:t>
      </w:r>
      <w:r w:rsidRPr="005C3E39">
        <w:rPr>
          <w:rFonts w:eastAsia="Calibri"/>
          <w:szCs w:val="24"/>
          <w:lang w:val="en-US"/>
        </w:rPr>
        <w:t>I</w:t>
      </w:r>
      <w:r w:rsidRPr="005C3E39">
        <w:rPr>
          <w:rFonts w:eastAsia="Calibri"/>
          <w:szCs w:val="24"/>
        </w:rPr>
        <w:t xml:space="preserve">, </w:t>
      </w:r>
      <w:r w:rsidRPr="005C3E39">
        <w:rPr>
          <w:rFonts w:eastAsia="Calibri"/>
          <w:szCs w:val="24"/>
          <w:lang w:val="en-US"/>
        </w:rPr>
        <w:t>II</w:t>
      </w:r>
      <w:r w:rsidRPr="005C3E39">
        <w:rPr>
          <w:rFonts w:eastAsia="Calibri"/>
          <w:szCs w:val="24"/>
        </w:rPr>
        <w:t xml:space="preserve">, </w:t>
      </w:r>
      <w:r w:rsidRPr="005C3E39">
        <w:rPr>
          <w:rFonts w:eastAsia="Calibri"/>
          <w:szCs w:val="24"/>
          <w:lang w:val="en-US"/>
        </w:rPr>
        <w:t>III</w:t>
      </w:r>
      <w:r w:rsidRPr="005C3E39">
        <w:rPr>
          <w:rFonts w:eastAsia="Calibri"/>
          <w:szCs w:val="24"/>
        </w:rPr>
        <w:t xml:space="preserve"> рейтинговой группы исходя из значений медианных кредитных спредов соответствующей рейтинговой группы в соответствии с Таблицей 1 с учетом премии за субординированность (если применимо</w:t>
      </w:r>
      <w:r w:rsidRPr="005C3E39">
        <w:rPr>
          <w:szCs w:val="24"/>
        </w:rPr>
        <w:t xml:space="preserve"> </w:t>
      </w:r>
      <w:r w:rsidRPr="005C3E39">
        <w:rPr>
          <w:rFonts w:eastAsia="Calibri"/>
          <w:szCs w:val="24"/>
        </w:rPr>
        <w:t>к анализируемому инструменту).</w:t>
      </w:r>
    </w:p>
    <w:p w14:paraId="0563A1B0" w14:textId="77777777" w:rsidR="00E41AB9" w:rsidRPr="005C3E39" w:rsidRDefault="00E41AB9" w:rsidP="00E41AB9">
      <w:pPr>
        <w:spacing w:line="312" w:lineRule="auto"/>
        <w:jc w:val="both"/>
        <w:rPr>
          <w:rFonts w:eastAsia="Calibri"/>
          <w:szCs w:val="24"/>
        </w:rPr>
      </w:pPr>
    </w:p>
    <w:p w14:paraId="5A3EA159" w14:textId="77777777" w:rsidR="00E41AB9" w:rsidRPr="005C3E39" w:rsidRDefault="00E41AB9" w:rsidP="00E41AB9">
      <w:pPr>
        <w:spacing w:line="312" w:lineRule="auto"/>
        <w:jc w:val="both"/>
        <w:rPr>
          <w:rFonts w:eastAsia="Calibri"/>
          <w:szCs w:val="24"/>
        </w:rPr>
      </w:pPr>
      <w:r w:rsidRPr="005C3E39">
        <w:rPr>
          <w:rFonts w:eastAsia="Calibri"/>
          <w:szCs w:val="24"/>
        </w:rPr>
        <w:t>Итоговые диапазоны кредитных спредов приведены в Таблице 1.</w:t>
      </w:r>
    </w:p>
    <w:p w14:paraId="2FC0A6F4" w14:textId="77777777" w:rsidR="00E41AB9" w:rsidRPr="005C3E39" w:rsidRDefault="00E41AB9" w:rsidP="00E41AB9">
      <w:pPr>
        <w:spacing w:line="312" w:lineRule="auto"/>
        <w:jc w:val="both"/>
        <w:rPr>
          <w:rFonts w:eastAsia="Calibri"/>
          <w:szCs w:val="24"/>
        </w:rPr>
      </w:pPr>
      <w:r w:rsidRPr="005C3E39">
        <w:rPr>
          <w:rFonts w:eastAsia="Calibri"/>
          <w:szCs w:val="24"/>
        </w:rPr>
        <w:t>Расчет диапазона кредитных спредов для IV рейтинговой группы не выполняется.</w:t>
      </w:r>
    </w:p>
    <w:p w14:paraId="0CD1AD65"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spacing w:line="312" w:lineRule="auto"/>
        <w:contextualSpacing/>
        <w:jc w:val="both"/>
        <w:rPr>
          <w:b/>
          <w:bCs/>
          <w:szCs w:val="24"/>
        </w:rPr>
      </w:pPr>
      <w:r w:rsidRPr="005C3E39">
        <w:rPr>
          <w:rFonts w:eastAsia="Calibri"/>
          <w:b/>
          <w:szCs w:val="24"/>
        </w:rPr>
        <w:t>Таблица 1. Диапазон кредитных спредов рейтинговых групп.</w:t>
      </w:r>
    </w:p>
    <w:tbl>
      <w:tblPr>
        <w:tblW w:w="0" w:type="auto"/>
        <w:tblLook w:val="04A0" w:firstRow="1" w:lastRow="0" w:firstColumn="1" w:lastColumn="0" w:noHBand="0" w:noVBand="1"/>
      </w:tblPr>
      <w:tblGrid>
        <w:gridCol w:w="3369"/>
        <w:gridCol w:w="2835"/>
        <w:gridCol w:w="3367"/>
      </w:tblGrid>
      <w:tr w:rsidR="00E41AB9" w:rsidRPr="005C3E39" w14:paraId="05C0FCA2" w14:textId="77777777" w:rsidTr="00E41AB9">
        <w:trPr>
          <w:trHeight w:val="284"/>
        </w:trPr>
        <w:tc>
          <w:tcPr>
            <w:tcW w:w="9571" w:type="dxa"/>
            <w:gridSpan w:val="3"/>
            <w:shd w:val="clear" w:color="auto" w:fill="BFBFBF" w:themeFill="background1" w:themeFillShade="BF"/>
          </w:tcPr>
          <w:p w14:paraId="62F5AB7E"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center"/>
              <w:rPr>
                <w:rFonts w:eastAsia="Calibri"/>
                <w:szCs w:val="24"/>
              </w:rPr>
            </w:pPr>
            <w:r w:rsidRPr="005C3E39">
              <w:rPr>
                <w:rFonts w:eastAsia="Calibri"/>
                <w:szCs w:val="24"/>
              </w:rPr>
              <w:t xml:space="preserve">Диапазон кредитных </w:t>
            </w:r>
            <w:r w:rsidRPr="005C3E39">
              <w:rPr>
                <w:rFonts w:eastAsia="Calibri"/>
                <w:b/>
                <w:szCs w:val="24"/>
              </w:rPr>
              <w:t>спредов</w:t>
            </w:r>
          </w:p>
        </w:tc>
      </w:tr>
      <w:tr w:rsidR="00E41AB9" w:rsidRPr="005C3E39" w14:paraId="0619E58D" w14:textId="77777777" w:rsidTr="00E41AB9">
        <w:trPr>
          <w:trHeight w:val="284"/>
        </w:trPr>
        <w:tc>
          <w:tcPr>
            <w:tcW w:w="3369" w:type="dxa"/>
          </w:tcPr>
          <w:p w14:paraId="57A88FFE"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w:r w:rsidRPr="005C3E39">
              <w:rPr>
                <w:rFonts w:eastAsia="Calibri"/>
                <w:szCs w:val="24"/>
              </w:rPr>
              <w:t>Min (α)</w:t>
            </w:r>
          </w:p>
        </w:tc>
        <w:tc>
          <w:tcPr>
            <w:tcW w:w="2835" w:type="dxa"/>
          </w:tcPr>
          <w:p w14:paraId="78A8E580"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w:r w:rsidRPr="005C3E39">
              <w:rPr>
                <w:rFonts w:eastAsia="Calibri"/>
                <w:szCs w:val="24"/>
              </w:rPr>
              <w:t>Медиана</w:t>
            </w:r>
          </w:p>
        </w:tc>
        <w:tc>
          <w:tcPr>
            <w:tcW w:w="3367" w:type="dxa"/>
          </w:tcPr>
          <w:p w14:paraId="027964BA"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w:r w:rsidRPr="005C3E39">
              <w:rPr>
                <w:rFonts w:eastAsia="Calibri"/>
                <w:szCs w:val="24"/>
              </w:rPr>
              <w:t>Max (β)</w:t>
            </w:r>
          </w:p>
        </w:tc>
      </w:tr>
      <w:tr w:rsidR="00E41AB9" w:rsidRPr="005C3E39" w14:paraId="4032A27A" w14:textId="77777777" w:rsidTr="00E41AB9">
        <w:trPr>
          <w:trHeight w:val="284"/>
        </w:trPr>
        <w:tc>
          <w:tcPr>
            <w:tcW w:w="9571" w:type="dxa"/>
            <w:gridSpan w:val="3"/>
          </w:tcPr>
          <w:p w14:paraId="2A880B9F"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w:r w:rsidRPr="005C3E39">
              <w:rPr>
                <w:rFonts w:eastAsia="Calibri"/>
                <w:szCs w:val="24"/>
              </w:rPr>
              <w:t>Рейтинговая группа I</w:t>
            </w:r>
          </w:p>
        </w:tc>
      </w:tr>
      <w:tr w:rsidR="00E41AB9" w:rsidRPr="005C3E39" w14:paraId="7705D5C4" w14:textId="77777777" w:rsidTr="00E41AB9">
        <w:trPr>
          <w:trHeight w:val="284"/>
        </w:trPr>
        <w:tc>
          <w:tcPr>
            <w:tcW w:w="3369" w:type="dxa"/>
          </w:tcPr>
          <w:p w14:paraId="718FF719"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w:r w:rsidRPr="005C3E39">
              <w:rPr>
                <w:rFonts w:eastAsia="Calibri"/>
                <w:szCs w:val="24"/>
                <w:lang w:val="en-US"/>
              </w:rPr>
              <w:t xml:space="preserve">0 </w:t>
            </w:r>
            <w:r w:rsidRPr="005C3E39">
              <w:rPr>
                <w:rFonts w:eastAsia="Calibri"/>
                <w:szCs w:val="24"/>
              </w:rPr>
              <w:t>+ премия</w:t>
            </w:r>
          </w:p>
        </w:tc>
        <w:tc>
          <w:tcPr>
            <w:tcW w:w="2835" w:type="dxa"/>
          </w:tcPr>
          <w:p w14:paraId="3B077B42" w14:textId="77777777" w:rsidR="00E41AB9" w:rsidRPr="005C3E39" w:rsidRDefault="002B470C"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sub>
                <m:sup>
                  <m:r>
                    <w:rPr>
                      <w:rFonts w:ascii="Cambria Math" w:eastAsia="Calibri" w:hAnsi="Cambria Math"/>
                      <w:szCs w:val="24"/>
                    </w:rPr>
                    <m:t>m</m:t>
                  </m:r>
                </m:sup>
              </m:sSubSup>
            </m:oMath>
            <w:r w:rsidR="00E41AB9" w:rsidRPr="005C3E39">
              <w:rPr>
                <w:rFonts w:eastAsia="Calibri"/>
                <w:szCs w:val="24"/>
              </w:rPr>
              <w:t xml:space="preserve"> + премия</w:t>
            </w:r>
          </w:p>
        </w:tc>
        <w:tc>
          <w:tcPr>
            <w:tcW w:w="3367" w:type="dxa"/>
          </w:tcPr>
          <w:p w14:paraId="29107283" w14:textId="77777777" w:rsidR="00E41AB9" w:rsidRPr="005C3E39" w:rsidRDefault="002B470C"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sSubSup>
                <m:sSubSupPr>
                  <m:ctrlPr>
                    <w:rPr>
                      <w:rFonts w:ascii="Cambria Math" w:eastAsia="Calibri" w:hAnsi="Cambria Math"/>
                      <w:i/>
                      <w:szCs w:val="24"/>
                    </w:rPr>
                  </m:ctrlPr>
                </m:sSubSupPr>
                <m:e>
                  <m:r>
                    <w:rPr>
                      <w:rFonts w:ascii="Cambria Math" w:eastAsia="Calibri" w:hAnsi="Cambria Math"/>
                      <w:szCs w:val="24"/>
                    </w:rPr>
                    <m:t>2×</m:t>
                  </m:r>
                  <m:r>
                    <w:rPr>
                      <w:rFonts w:ascii="Cambria Math" w:eastAsia="Calibri" w:hAnsi="Cambria Math"/>
                      <w:szCs w:val="24"/>
                      <w:lang w:val="en-US"/>
                    </w:rPr>
                    <m:t>S</m:t>
                  </m:r>
                </m:e>
                <m:sub>
                  <m:r>
                    <m:rPr>
                      <m:sty m:val="p"/>
                    </m:rPr>
                    <w:rPr>
                      <w:rFonts w:ascii="Cambria Math" w:eastAsia="Calibri" w:hAnsi="Cambria Math"/>
                      <w:szCs w:val="24"/>
                    </w:rPr>
                    <m:t>РГI</m:t>
                  </m:r>
                </m:sub>
                <m:sup>
                  <m:r>
                    <w:rPr>
                      <w:rFonts w:ascii="Cambria Math" w:eastAsia="Calibri" w:hAnsi="Cambria Math"/>
                      <w:szCs w:val="24"/>
                    </w:rPr>
                    <m:t>m</m:t>
                  </m:r>
                </m:sup>
              </m:sSubSup>
            </m:oMath>
            <w:r w:rsidR="00E41AB9" w:rsidRPr="005C3E39">
              <w:rPr>
                <w:rFonts w:eastAsia="Calibri"/>
                <w:szCs w:val="24"/>
              </w:rPr>
              <w:t xml:space="preserve"> + премия</w:t>
            </w:r>
          </w:p>
        </w:tc>
      </w:tr>
      <w:tr w:rsidR="00E41AB9" w:rsidRPr="005C3E39" w14:paraId="6F6D732A" w14:textId="77777777" w:rsidTr="00E41AB9">
        <w:trPr>
          <w:trHeight w:val="284"/>
        </w:trPr>
        <w:tc>
          <w:tcPr>
            <w:tcW w:w="9571" w:type="dxa"/>
            <w:gridSpan w:val="3"/>
          </w:tcPr>
          <w:p w14:paraId="35E6B9AA"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lang w:val="en-US"/>
              </w:rPr>
            </w:pPr>
            <w:r w:rsidRPr="005C3E39">
              <w:rPr>
                <w:rFonts w:eastAsia="Calibri"/>
                <w:szCs w:val="24"/>
              </w:rPr>
              <w:t>Рейтинговая группа I</w:t>
            </w:r>
            <w:r w:rsidRPr="005C3E39">
              <w:rPr>
                <w:rFonts w:eastAsia="Calibri"/>
                <w:szCs w:val="24"/>
                <w:lang w:val="en-US"/>
              </w:rPr>
              <w:t>I</w:t>
            </w:r>
          </w:p>
        </w:tc>
      </w:tr>
      <w:tr w:rsidR="00E41AB9" w:rsidRPr="005C3E39" w14:paraId="7AA5C712" w14:textId="77777777" w:rsidTr="00E41AB9">
        <w:trPr>
          <w:trHeight w:val="284"/>
        </w:trPr>
        <w:tc>
          <w:tcPr>
            <w:tcW w:w="3369" w:type="dxa"/>
          </w:tcPr>
          <w:p w14:paraId="54E80C3D" w14:textId="77777777" w:rsidR="00E41AB9" w:rsidRPr="005C3E39" w:rsidRDefault="002B470C"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sub>
                <m:sup>
                  <m:r>
                    <w:rPr>
                      <w:rFonts w:ascii="Cambria Math" w:eastAsia="Calibri" w:hAnsi="Cambria Math"/>
                      <w:szCs w:val="24"/>
                    </w:rPr>
                    <m:t>m</m:t>
                  </m:r>
                </m:sup>
              </m:sSubSup>
            </m:oMath>
            <w:r w:rsidR="00E41AB9" w:rsidRPr="005C3E39">
              <w:rPr>
                <w:rFonts w:eastAsia="Calibri"/>
                <w:szCs w:val="24"/>
              </w:rPr>
              <w:t xml:space="preserve"> + премия</w:t>
            </w:r>
          </w:p>
        </w:tc>
        <w:tc>
          <w:tcPr>
            <w:tcW w:w="2835" w:type="dxa"/>
          </w:tcPr>
          <w:p w14:paraId="652A7545" w14:textId="77777777" w:rsidR="00E41AB9" w:rsidRPr="005C3E39" w:rsidRDefault="002B470C"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r>
                    <m:rPr>
                      <m:sty m:val="p"/>
                    </m:rPr>
                    <w:rPr>
                      <w:rFonts w:ascii="Cambria Math" w:eastAsia="Calibri" w:hAnsi="Cambria Math"/>
                      <w:szCs w:val="24"/>
                      <w:lang w:val="en-US"/>
                    </w:rPr>
                    <m:t>I</m:t>
                  </m:r>
                </m:sub>
                <m:sup>
                  <m:r>
                    <w:rPr>
                      <w:rFonts w:ascii="Cambria Math" w:eastAsia="Calibri" w:hAnsi="Cambria Math"/>
                      <w:szCs w:val="24"/>
                    </w:rPr>
                    <m:t>m</m:t>
                  </m:r>
                </m:sup>
              </m:sSubSup>
            </m:oMath>
            <w:r w:rsidR="00E41AB9" w:rsidRPr="005C3E39">
              <w:rPr>
                <w:rFonts w:eastAsia="Calibri"/>
                <w:szCs w:val="24"/>
              </w:rPr>
              <w:t xml:space="preserve"> + премия</w:t>
            </w:r>
          </w:p>
        </w:tc>
        <w:tc>
          <w:tcPr>
            <w:tcW w:w="3367" w:type="dxa"/>
          </w:tcPr>
          <w:p w14:paraId="28E1D499"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r>
                <w:rPr>
                  <w:rFonts w:ascii="Cambria Math" w:eastAsia="Calibri" w:hAnsi="Cambria Math"/>
                  <w:szCs w:val="24"/>
                </w:rPr>
                <m:t>(</m:t>
              </m:r>
              <m:sSubSup>
                <m:sSubSupPr>
                  <m:ctrlPr>
                    <w:rPr>
                      <w:rFonts w:ascii="Cambria Math" w:eastAsia="Calibri" w:hAnsi="Cambria Math"/>
                      <w:i/>
                      <w:szCs w:val="24"/>
                    </w:rPr>
                  </m:ctrlPr>
                </m:sSubSupPr>
                <m:e>
                  <m:r>
                    <w:rPr>
                      <w:rFonts w:ascii="Cambria Math" w:eastAsia="Calibri" w:hAnsi="Cambria Math"/>
                      <w:szCs w:val="24"/>
                    </w:rPr>
                    <m:t>2×</m:t>
                  </m:r>
                  <m:r>
                    <w:rPr>
                      <w:rFonts w:ascii="Cambria Math" w:eastAsia="Calibri" w:hAnsi="Cambria Math"/>
                      <w:szCs w:val="24"/>
                      <w:lang w:val="en-US"/>
                    </w:rPr>
                    <m:t>S</m:t>
                  </m:r>
                </m:e>
                <m:sub>
                  <m:r>
                    <m:rPr>
                      <m:sty m:val="p"/>
                    </m:rPr>
                    <w:rPr>
                      <w:rFonts w:ascii="Cambria Math" w:eastAsia="Calibri" w:hAnsi="Cambria Math"/>
                      <w:szCs w:val="24"/>
                    </w:rPr>
                    <m:t>РГI</m:t>
                  </m:r>
                  <m:r>
                    <m:rPr>
                      <m:sty m:val="p"/>
                    </m:rPr>
                    <w:rPr>
                      <w:rFonts w:ascii="Cambria Math" w:eastAsia="Calibri" w:hAnsi="Cambria Math"/>
                      <w:szCs w:val="24"/>
                      <w:lang w:val="en-US"/>
                    </w:rPr>
                    <m:t>I</m:t>
                  </m:r>
                </m:sub>
                <m:sup>
                  <m:r>
                    <w:rPr>
                      <w:rFonts w:ascii="Cambria Math" w:eastAsia="Calibri" w:hAnsi="Cambria Math"/>
                      <w:szCs w:val="24"/>
                    </w:rPr>
                    <m:t>m</m:t>
                  </m:r>
                </m:sup>
              </m:sSubSup>
              <m:r>
                <w:rPr>
                  <w:rFonts w:ascii="Cambria Math" w:eastAsia="Calibri" w:hAnsi="Cambria Math"/>
                  <w:szCs w:val="24"/>
                </w:rPr>
                <m:t>-</m:t>
              </m:r>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sub>
                <m:sup>
                  <m:r>
                    <w:rPr>
                      <w:rFonts w:ascii="Cambria Math" w:eastAsia="Calibri" w:hAnsi="Cambria Math"/>
                      <w:szCs w:val="24"/>
                    </w:rPr>
                    <m:t>m</m:t>
                  </m:r>
                </m:sup>
              </m:sSubSup>
              <m:r>
                <w:rPr>
                  <w:rFonts w:ascii="Cambria Math" w:eastAsia="Calibri" w:hAnsi="Cambria Math"/>
                  <w:szCs w:val="24"/>
                </w:rPr>
                <m:t>)</m:t>
              </m:r>
            </m:oMath>
            <w:r w:rsidRPr="005C3E39">
              <w:rPr>
                <w:rFonts w:eastAsia="Calibri"/>
                <w:szCs w:val="24"/>
              </w:rPr>
              <w:t xml:space="preserve"> + премия</w:t>
            </w:r>
          </w:p>
        </w:tc>
      </w:tr>
      <w:tr w:rsidR="00E41AB9" w:rsidRPr="005C3E39" w14:paraId="6ED00302" w14:textId="77777777" w:rsidTr="00E41AB9">
        <w:trPr>
          <w:trHeight w:val="284"/>
        </w:trPr>
        <w:tc>
          <w:tcPr>
            <w:tcW w:w="9571" w:type="dxa"/>
            <w:gridSpan w:val="3"/>
          </w:tcPr>
          <w:p w14:paraId="44D30768"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w:r w:rsidRPr="005C3E39">
              <w:rPr>
                <w:rFonts w:eastAsia="Calibri"/>
                <w:szCs w:val="24"/>
              </w:rPr>
              <w:t>Рейтинговая группа I</w:t>
            </w:r>
            <w:r w:rsidRPr="005C3E39">
              <w:rPr>
                <w:rFonts w:eastAsia="Calibri"/>
                <w:szCs w:val="24"/>
                <w:lang w:val="en-US"/>
              </w:rPr>
              <w:t>II</w:t>
            </w:r>
          </w:p>
        </w:tc>
      </w:tr>
      <w:tr w:rsidR="00E41AB9" w:rsidRPr="005C3E39" w14:paraId="1440F09E" w14:textId="77777777" w:rsidTr="00E41AB9">
        <w:trPr>
          <w:trHeight w:val="284"/>
        </w:trPr>
        <w:tc>
          <w:tcPr>
            <w:tcW w:w="3369" w:type="dxa"/>
          </w:tcPr>
          <w:p w14:paraId="3D1068F3" w14:textId="77777777" w:rsidR="00E41AB9" w:rsidRPr="005C3E39" w:rsidRDefault="002B470C"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m:t>
                  </m:r>
                  <m:r>
                    <m:rPr>
                      <m:sty m:val="p"/>
                    </m:rPr>
                    <w:rPr>
                      <w:rFonts w:ascii="Cambria Math" w:eastAsia="Calibri" w:hAnsi="Cambria Math"/>
                      <w:szCs w:val="24"/>
                      <w:lang w:val="en-US"/>
                    </w:rPr>
                    <m:t>I</m:t>
                  </m:r>
                </m:sub>
                <m:sup>
                  <m:r>
                    <w:rPr>
                      <w:rFonts w:ascii="Cambria Math" w:eastAsia="Calibri" w:hAnsi="Cambria Math"/>
                      <w:szCs w:val="24"/>
                    </w:rPr>
                    <m:t>m</m:t>
                  </m:r>
                </m:sup>
              </m:sSubSup>
            </m:oMath>
            <w:r w:rsidR="00E41AB9" w:rsidRPr="005C3E39">
              <w:rPr>
                <w:rFonts w:eastAsia="Calibri"/>
                <w:szCs w:val="24"/>
              </w:rPr>
              <w:t xml:space="preserve"> + премия</w:t>
            </w:r>
          </w:p>
        </w:tc>
        <w:tc>
          <w:tcPr>
            <w:tcW w:w="2835" w:type="dxa"/>
          </w:tcPr>
          <w:p w14:paraId="39970A9E" w14:textId="77777777" w:rsidR="00E41AB9" w:rsidRPr="005C3E39" w:rsidRDefault="002B470C"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РГIII</m:t>
                  </m:r>
                </m:sub>
                <m:sup>
                  <m:r>
                    <w:rPr>
                      <w:rFonts w:ascii="Cambria Math" w:eastAsia="Calibri" w:hAnsi="Cambria Math"/>
                      <w:szCs w:val="24"/>
                    </w:rPr>
                    <m:t>m</m:t>
                  </m:r>
                </m:sup>
              </m:sSubSup>
            </m:oMath>
            <w:r w:rsidR="00E41AB9" w:rsidRPr="005C3E39">
              <w:rPr>
                <w:rFonts w:eastAsia="Calibri"/>
                <w:szCs w:val="24"/>
              </w:rPr>
              <w:t xml:space="preserve"> + премия</w:t>
            </w:r>
          </w:p>
        </w:tc>
        <w:tc>
          <w:tcPr>
            <w:tcW w:w="3367" w:type="dxa"/>
          </w:tcPr>
          <w:p w14:paraId="727F2F27" w14:textId="77777777" w:rsidR="00E41AB9" w:rsidRPr="005C3E39" w:rsidRDefault="00E41AB9" w:rsidP="00E41AB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67"/>
              </w:tabs>
              <w:spacing w:line="312" w:lineRule="auto"/>
              <w:contextualSpacing/>
              <w:jc w:val="both"/>
              <w:rPr>
                <w:rFonts w:eastAsia="Calibri"/>
                <w:szCs w:val="24"/>
              </w:rPr>
            </w:pPr>
            <m:oMath>
              <m:r>
                <w:rPr>
                  <w:rFonts w:ascii="Cambria Math" w:eastAsia="Calibri" w:hAnsi="Cambria Math"/>
                  <w:szCs w:val="24"/>
                </w:rPr>
                <m:t>(</m:t>
              </m:r>
              <m:sSubSup>
                <m:sSubSupPr>
                  <m:ctrlPr>
                    <w:rPr>
                      <w:rFonts w:ascii="Cambria Math" w:eastAsia="Calibri" w:hAnsi="Cambria Math"/>
                      <w:i/>
                      <w:szCs w:val="24"/>
                    </w:rPr>
                  </m:ctrlPr>
                </m:sSubSupPr>
                <m:e>
                  <m:r>
                    <w:rPr>
                      <w:rFonts w:ascii="Cambria Math" w:eastAsia="Calibri" w:hAnsi="Cambria Math"/>
                      <w:szCs w:val="24"/>
                    </w:rPr>
                    <m:t>2×</m:t>
                  </m:r>
                  <m:r>
                    <w:rPr>
                      <w:rFonts w:ascii="Cambria Math" w:eastAsia="Calibri" w:hAnsi="Cambria Math"/>
                      <w:szCs w:val="24"/>
                      <w:lang w:val="en-US"/>
                    </w:rPr>
                    <m:t>S</m:t>
                  </m:r>
                </m:e>
                <m:sub>
                  <m:r>
                    <m:rPr>
                      <m:sty m:val="p"/>
                    </m:rPr>
                    <w:rPr>
                      <w:rFonts w:ascii="Cambria Math" w:eastAsia="Calibri" w:hAnsi="Cambria Math"/>
                      <w:szCs w:val="24"/>
                    </w:rPr>
                    <m:t>РГII</m:t>
                  </m:r>
                  <m:r>
                    <m:rPr>
                      <m:sty m:val="p"/>
                    </m:rPr>
                    <w:rPr>
                      <w:rFonts w:ascii="Cambria Math" w:eastAsia="Calibri" w:hAnsi="Cambria Math"/>
                      <w:szCs w:val="24"/>
                      <w:lang w:val="en-US"/>
                    </w:rPr>
                    <m:t>I</m:t>
                  </m:r>
                </m:sub>
                <m:sup>
                  <m:r>
                    <w:rPr>
                      <w:rFonts w:ascii="Cambria Math" w:eastAsia="Calibri" w:hAnsi="Cambria Math"/>
                      <w:szCs w:val="24"/>
                    </w:rPr>
                    <m:t>m</m:t>
                  </m:r>
                </m:sup>
              </m:sSubSup>
              <m:r>
                <w:rPr>
                  <w:rFonts w:ascii="Cambria Math" w:eastAsia="Calibri" w:hAnsi="Cambria Math"/>
                  <w:szCs w:val="24"/>
                </w:rPr>
                <m:t>-</m:t>
              </m:r>
              <m:sSubSup>
                <m:sSubSupPr>
                  <m:ctrlPr>
                    <w:rPr>
                      <w:rFonts w:ascii="Cambria Math" w:eastAsia="Calibri" w:hAnsi="Cambria Math"/>
                      <w:i/>
                      <w:szCs w:val="24"/>
                    </w:rPr>
                  </m:ctrlPr>
                </m:sSubSupPr>
                <m:e>
                  <m:r>
                    <w:rPr>
                      <w:rFonts w:ascii="Cambria Math" w:eastAsia="Calibri" w:hAnsi="Cambria Math"/>
                      <w:szCs w:val="24"/>
                      <w:lang w:val="en-US"/>
                    </w:rPr>
                    <m:t>S</m:t>
                  </m:r>
                </m:e>
                <m:sub>
                  <m:r>
                    <m:rPr>
                      <m:sty m:val="p"/>
                    </m:rPr>
                    <w:rPr>
                      <w:rFonts w:ascii="Cambria Math" w:eastAsia="Calibri" w:hAnsi="Cambria Math"/>
                      <w:szCs w:val="24"/>
                    </w:rPr>
                    <m:t>РГII</m:t>
                  </m:r>
                </m:sub>
                <m:sup>
                  <m:r>
                    <w:rPr>
                      <w:rFonts w:ascii="Cambria Math" w:eastAsia="Calibri" w:hAnsi="Cambria Math"/>
                      <w:szCs w:val="24"/>
                    </w:rPr>
                    <m:t>m</m:t>
                  </m:r>
                </m:sup>
              </m:sSubSup>
              <m:r>
                <w:rPr>
                  <w:rFonts w:ascii="Cambria Math" w:eastAsia="Calibri" w:hAnsi="Cambria Math"/>
                  <w:szCs w:val="24"/>
                </w:rPr>
                <m:t>)</m:t>
              </m:r>
            </m:oMath>
            <w:r w:rsidRPr="005C3E39">
              <w:rPr>
                <w:rFonts w:eastAsia="Calibri"/>
                <w:szCs w:val="24"/>
              </w:rPr>
              <w:t xml:space="preserve"> + премия</w:t>
            </w:r>
          </w:p>
        </w:tc>
      </w:tr>
    </w:tbl>
    <w:p w14:paraId="1A5BA435" w14:textId="617B3803" w:rsidR="00E41AB9" w:rsidRDefault="00E41AB9" w:rsidP="00E41AB9">
      <w:pPr>
        <w:spacing w:line="312" w:lineRule="auto"/>
        <w:ind w:left="567"/>
        <w:contextualSpacing/>
        <w:jc w:val="both"/>
        <w:rPr>
          <w:rFonts w:eastAsia="Calibri"/>
          <w:szCs w:val="24"/>
        </w:rPr>
      </w:pPr>
      <w:r w:rsidRPr="005C3E39">
        <w:rPr>
          <w:rFonts w:eastAsia="Calibri"/>
          <w:i/>
          <w:szCs w:val="24"/>
        </w:rPr>
        <w:t>Примечание</w:t>
      </w:r>
      <w:r w:rsidRPr="005C3E39">
        <w:rPr>
          <w:rFonts w:eastAsia="Calibri"/>
          <w:szCs w:val="24"/>
        </w:rPr>
        <w:t>:</w:t>
      </w:r>
    </w:p>
    <w:p w14:paraId="4F20BE41" w14:textId="362FA46C" w:rsidR="00B94A7C" w:rsidRDefault="00B94A7C" w:rsidP="00E41AB9">
      <w:pPr>
        <w:spacing w:line="312" w:lineRule="auto"/>
        <w:ind w:left="567"/>
        <w:contextualSpacing/>
        <w:jc w:val="both"/>
        <w:rPr>
          <w:rFonts w:eastAsia="Calibri"/>
          <w:szCs w:val="24"/>
        </w:rPr>
      </w:pPr>
    </w:p>
    <w:p w14:paraId="7869CAC9" w14:textId="0D956BA5" w:rsidR="00B94A7C" w:rsidRDefault="00B94A7C" w:rsidP="00E41AB9">
      <w:pPr>
        <w:ind w:firstLine="426"/>
        <w:jc w:val="both"/>
        <w:rPr>
          <w:szCs w:val="24"/>
        </w:rPr>
      </w:pPr>
    </w:p>
    <w:p w14:paraId="739B643E" w14:textId="77777777" w:rsidR="009A7343" w:rsidRPr="005C3E39" w:rsidRDefault="009A7343" w:rsidP="009A7343">
      <w:pPr>
        <w:spacing w:line="312" w:lineRule="auto"/>
        <w:ind w:left="567"/>
        <w:contextualSpacing/>
        <w:jc w:val="both"/>
        <w:rPr>
          <w:rFonts w:eastAsia="Calibri"/>
          <w:szCs w:val="24"/>
        </w:rPr>
      </w:pPr>
      <w:r w:rsidRPr="006255B7">
        <w:rPr>
          <w:rFonts w:eastAsia="Calibri"/>
          <w:szCs w:val="24"/>
        </w:rPr>
        <w:t xml:space="preserve">В Таблице значение показателя «премия» определяется как премия за субординированность для субординированных депозитов и субординированных облигаций соответствующей кредитной организации в случае отсутствия рейтинга выпуска, и 0 – в остальных случаях. </w:t>
      </w:r>
      <w:r>
        <w:t>Премия определятся на основе профессионального суждения, основанного, в том числе, на рыночных показателях субординированных и несубординированных финансовых инструментов того же контрагента, или иных контрагентов того же кредитного качества (в соответствии с кредитными рейтингами от рейтинговых агентств).  В случае отсутствия релевантных рыночных инструментов для формирования профессионального суждения  о премии её размер может быть определён равным 5 п.п.</w:t>
      </w:r>
    </w:p>
    <w:p w14:paraId="2B6194D7" w14:textId="77777777" w:rsidR="009A7343" w:rsidRPr="005C3E39" w:rsidRDefault="009A7343" w:rsidP="009A7343">
      <w:pPr>
        <w:rPr>
          <w:b/>
          <w:i/>
          <w:szCs w:val="24"/>
        </w:rPr>
      </w:pPr>
    </w:p>
    <w:p w14:paraId="3678C2C6" w14:textId="05CD3103" w:rsidR="00E41AB9" w:rsidRPr="005C3E39" w:rsidRDefault="009A7343" w:rsidP="00E41AB9">
      <w:pPr>
        <w:ind w:firstLine="426"/>
        <w:jc w:val="both"/>
        <w:rPr>
          <w:szCs w:val="24"/>
        </w:rPr>
      </w:pPr>
      <w:r w:rsidRPr="005C3E39">
        <w:rPr>
          <w:szCs w:val="24"/>
        </w:rPr>
        <w:t xml:space="preserve">Для еврооблигаций, номинированных в </w:t>
      </w:r>
      <w:r>
        <w:rPr>
          <w:szCs w:val="24"/>
        </w:rPr>
        <w:t>иностранной валюте</w:t>
      </w:r>
      <w:r w:rsidRPr="005C3E39">
        <w:rPr>
          <w:szCs w:val="24"/>
        </w:rPr>
        <w:t xml:space="preserve">, и в отношении которых известен конечный заемщик (по данным системы </w:t>
      </w:r>
      <w:r w:rsidRPr="005C3E39">
        <w:rPr>
          <w:szCs w:val="24"/>
          <w:lang w:val="en-US"/>
        </w:rPr>
        <w:t>cbonds</w:t>
      </w:r>
      <w:r w:rsidRPr="005C3E39">
        <w:rPr>
          <w:szCs w:val="24"/>
        </w:rPr>
        <w:t>.</w:t>
      </w:r>
      <w:r w:rsidRPr="005C3E39">
        <w:rPr>
          <w:szCs w:val="24"/>
          <w:lang w:val="en-US"/>
        </w:rPr>
        <w:t>ru</w:t>
      </w:r>
      <w:r w:rsidRPr="005C3E39">
        <w:rPr>
          <w:szCs w:val="24"/>
        </w:rPr>
        <w:t>), при этом «страной риска» заемщика является Россия, цена</w:t>
      </w:r>
      <w:r>
        <w:rPr>
          <w:szCs w:val="24"/>
        </w:rPr>
        <w:t>,</w:t>
      </w:r>
      <w:r w:rsidRPr="005C3E39">
        <w:rPr>
          <w:szCs w:val="24"/>
        </w:rPr>
        <w:t xml:space="preserve">  </w:t>
      </w:r>
      <w:r w:rsidRPr="005C3E39">
        <w:rPr>
          <w:rFonts w:eastAsia="Calibri"/>
        </w:rPr>
        <w:t>определенная методом приведенной стоимости будущих денежных потоков</w:t>
      </w:r>
      <w:r>
        <w:rPr>
          <w:rFonts w:eastAsia="Calibri"/>
        </w:rPr>
        <w:t>,</w:t>
      </w:r>
      <w:r w:rsidRPr="005C3E39">
        <w:rPr>
          <w:rFonts w:eastAsia="Calibri"/>
        </w:rPr>
        <w:t xml:space="preserve"> рассчитывается по</w:t>
      </w:r>
    </w:p>
    <w:p w14:paraId="51D5023E" w14:textId="2BDDE927" w:rsidR="00E41AB9" w:rsidRPr="005C3E39" w:rsidRDefault="00E41AB9" w:rsidP="00E41AB9">
      <w:pPr>
        <w:tabs>
          <w:tab w:val="left" w:pos="709"/>
        </w:tabs>
        <w:spacing w:line="276" w:lineRule="auto"/>
        <w:contextualSpacing/>
        <w:jc w:val="both"/>
        <w:rPr>
          <w:rFonts w:eastAsia="Calibri"/>
        </w:rPr>
      </w:pPr>
      <w:r w:rsidRPr="005C3E39">
        <w:rPr>
          <w:rFonts w:eastAsia="Calibri"/>
        </w:rPr>
        <w:t xml:space="preserve"> формуле:</w:t>
      </w:r>
    </w:p>
    <w:p w14:paraId="73C3D5F8" w14:textId="77777777" w:rsidR="00E41AB9" w:rsidRPr="005C3E39" w:rsidRDefault="00E41AB9" w:rsidP="00E41AB9">
      <w:pPr>
        <w:tabs>
          <w:tab w:val="left" w:pos="993"/>
        </w:tabs>
        <w:spacing w:line="276" w:lineRule="auto"/>
        <w:ind w:left="360"/>
        <w:jc w:val="both"/>
        <w:rPr>
          <w:rFonts w:eastAsia="Batang"/>
          <w:color w:val="000000"/>
        </w:rPr>
      </w:pPr>
      <m:oMathPara>
        <m:oMathParaPr>
          <m:jc m:val="center"/>
        </m:oMathParaPr>
        <m:oMath>
          <m:r>
            <w:rPr>
              <w:rFonts w:ascii="Cambria Math" w:hAnsi="Cambria Math"/>
            </w:rPr>
            <m:t xml:space="preserve">PV= </m:t>
          </m:r>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rPr>
                <m:t>=1</m:t>
              </m:r>
            </m:sub>
            <m:sup>
              <m:r>
                <w:rPr>
                  <w:rFonts w:ascii="Cambria Math" w:hAnsi="Cambria Math"/>
                  <w:lang w:val="en-US"/>
                </w:rPr>
                <m:t>N</m:t>
              </m:r>
            </m:sup>
            <m:e>
              <m:f>
                <m:fPr>
                  <m:ctrlPr>
                    <w:rPr>
                      <w:rFonts w:ascii="Cambria Math" w:hAnsi="Cambria Math"/>
                      <w:i/>
                      <w:lang w:val="en-US"/>
                    </w:rPr>
                  </m:ctrlPr>
                </m:fPr>
                <m:num>
                  <m:sSub>
                    <m:sSubPr>
                      <m:ctrlPr>
                        <w:rPr>
                          <w:rFonts w:ascii="Cambria Math" w:hAnsi="Cambria Math"/>
                          <w:i/>
                          <w:lang w:val="en-US"/>
                        </w:rPr>
                      </m:ctrlPr>
                    </m:sSubPr>
                    <m:e>
                      <m:acc>
                        <m:accPr>
                          <m:ctrlPr>
                            <w:rPr>
                              <w:rFonts w:ascii="Cambria Math" w:hAnsi="Cambria Math"/>
                              <w:i/>
                              <w:lang w:val="en-US"/>
                            </w:rPr>
                          </m:ctrlPr>
                        </m:accPr>
                        <m:e>
                          <m:r>
                            <w:rPr>
                              <w:rFonts w:ascii="Cambria Math" w:hAnsi="Cambria Math"/>
                              <w:lang w:val="en-US"/>
                            </w:rPr>
                            <m:t>CF</m:t>
                          </m:r>
                        </m:e>
                      </m:acc>
                    </m:e>
                    <m:sub>
                      <m:r>
                        <w:rPr>
                          <w:rFonts w:ascii="Cambria Math" w:hAnsi="Cambria Math"/>
                          <w:lang w:val="en-US"/>
                        </w:rPr>
                        <m:t>i</m:t>
                      </m:r>
                    </m:sub>
                  </m:sSub>
                </m:num>
                <m:den>
                  <m:sSup>
                    <m:sSupPr>
                      <m:ctrlPr>
                        <w:rPr>
                          <w:rFonts w:ascii="Cambria Math" w:hAnsi="Cambria Math"/>
                          <w:i/>
                          <w:lang w:val="en-US"/>
                        </w:rPr>
                      </m:ctrlPr>
                    </m:sSupPr>
                    <m:e>
                      <m:r>
                        <w:rPr>
                          <w:rFonts w:ascii="Cambria Math" w:hAnsi="Cambria Math"/>
                        </w:rPr>
                        <m:t>(1+</m:t>
                      </m:r>
                      <m:r>
                        <w:rPr>
                          <w:rFonts w:ascii="Cambria Math" w:hAnsi="Cambria Math"/>
                          <w:lang w:val="en-US"/>
                        </w:rPr>
                        <m:t>r</m:t>
                      </m:r>
                      <m:r>
                        <w:rPr>
                          <w:rFonts w:ascii="Cambria Math" w:hAnsi="Cambria Math"/>
                        </w:rPr>
                        <m:t>)</m:t>
                      </m:r>
                    </m:e>
                    <m:sup>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r>
                                <w:rPr>
                                  <w:rFonts w:ascii="Cambria Math" w:hAnsi="Cambria Math"/>
                                </w:rPr>
                                <m:t>-</m:t>
                              </m:r>
                            </m:sub>
                          </m:sSub>
                          <m:sSub>
                            <m:sSubPr>
                              <m:ctrlPr>
                                <w:rPr>
                                  <w:rFonts w:ascii="Cambria Math" w:hAnsi="Cambria Math"/>
                                  <w:i/>
                                  <w:lang w:val="en-US"/>
                                </w:rPr>
                              </m:ctrlPr>
                            </m:sSubPr>
                            <m:e>
                              <m:r>
                                <w:rPr>
                                  <w:rFonts w:ascii="Cambria Math" w:hAnsi="Cambria Math"/>
                                  <w:lang w:val="en-US"/>
                                </w:rPr>
                                <m:t>t</m:t>
                              </m:r>
                            </m:e>
                            <m:sub>
                              <m:r>
                                <w:rPr>
                                  <w:rFonts w:ascii="Cambria Math" w:hAnsi="Cambria Math"/>
                                </w:rPr>
                                <m:t>0</m:t>
                              </m:r>
                            </m:sub>
                          </m:sSub>
                        </m:num>
                        <m:den>
                          <m:r>
                            <w:rPr>
                              <w:rFonts w:ascii="Cambria Math" w:hAnsi="Cambria Math"/>
                            </w:rPr>
                            <m:t>365</m:t>
                          </m:r>
                        </m:den>
                      </m:f>
                    </m:sup>
                  </m:sSup>
                </m:den>
              </m:f>
            </m:e>
          </m:nary>
          <m:r>
            <w:rPr>
              <w:rFonts w:ascii="Cambria Math" w:hAnsi="Cambria Math"/>
              <w:lang w:val="en-US"/>
            </w:rPr>
            <m:t xml:space="preserve">        </m:t>
          </m:r>
        </m:oMath>
      </m:oMathPara>
    </w:p>
    <w:p w14:paraId="3AF475F1" w14:textId="77777777" w:rsidR="00E41AB9" w:rsidRPr="005C3E39" w:rsidRDefault="00E41AB9" w:rsidP="00E41AB9">
      <w:pPr>
        <w:spacing w:line="276" w:lineRule="auto"/>
        <w:ind w:left="709" w:hanging="1"/>
        <w:jc w:val="both"/>
      </w:pPr>
      <w:r w:rsidRPr="005C3E39">
        <w:t>где</w:t>
      </w:r>
    </w:p>
    <w:p w14:paraId="4F5D794A" w14:textId="77777777" w:rsidR="00E41AB9" w:rsidRPr="005C3E39" w:rsidRDefault="00E41AB9" w:rsidP="00E41AB9">
      <w:pPr>
        <w:spacing w:after="120" w:line="276" w:lineRule="auto"/>
        <w:ind w:left="709"/>
        <w:jc w:val="both"/>
      </w:pPr>
      <m:oMath>
        <m:r>
          <w:rPr>
            <w:rFonts w:ascii="Cambria Math" w:hAnsi="Cambria Math"/>
          </w:rPr>
          <m:t>r</m:t>
        </m:r>
      </m:oMath>
      <w:r w:rsidRPr="005C3E39">
        <w:t xml:space="preserve"> - ставка дисконтирования;</w:t>
      </w:r>
    </w:p>
    <w:p w14:paraId="5002E473" w14:textId="77777777" w:rsidR="00E41AB9" w:rsidRPr="005C3E39" w:rsidRDefault="00E41AB9" w:rsidP="00E41AB9">
      <w:pPr>
        <w:spacing w:after="120" w:line="276" w:lineRule="auto"/>
        <w:ind w:left="709"/>
        <w:jc w:val="both"/>
      </w:pPr>
      <m:oMath>
        <m:r>
          <w:rPr>
            <w:rFonts w:ascii="Cambria Math" w:hAnsi="Cambria Math"/>
          </w:rPr>
          <m:t>N</m:t>
        </m:r>
      </m:oMath>
      <w:r w:rsidRPr="005C3E39">
        <w:t xml:space="preserve"> - количество оставшихся на дату оценки платежей процентов и/или основной суммы долга по договору (депозиту, долговой ценной бумаге);</w:t>
      </w:r>
    </w:p>
    <w:p w14:paraId="1A02DE14" w14:textId="77777777" w:rsidR="00E41AB9" w:rsidRPr="005C3E39" w:rsidRDefault="002B470C" w:rsidP="00E41AB9">
      <w:pPr>
        <w:spacing w:after="120" w:line="276" w:lineRule="auto"/>
        <w:ind w:left="709"/>
        <w:jc w:val="both"/>
      </w:pPr>
      <m:oMath>
        <m:acc>
          <m:accPr>
            <m:ctrlPr>
              <w:rPr>
                <w:rFonts w:ascii="Cambria Math" w:hAnsi="Cambria Math"/>
                <w:i/>
              </w:rPr>
            </m:ctrlPr>
          </m:accPr>
          <m:e>
            <m:sSub>
              <m:sSubPr>
                <m:ctrlPr>
                  <w:rPr>
                    <w:rFonts w:ascii="Cambria Math" w:hAnsi="Cambria Math"/>
                    <w:i/>
                  </w:rPr>
                </m:ctrlPr>
              </m:sSubPr>
              <m:e>
                <m:r>
                  <w:rPr>
                    <w:rFonts w:ascii="Cambria Math" w:hAnsi="Cambria Math"/>
                  </w:rPr>
                  <m:t>CF</m:t>
                </m:r>
              </m:e>
              <m:sub>
                <m:r>
                  <w:rPr>
                    <w:rFonts w:ascii="Cambria Math" w:hAnsi="Cambria Math"/>
                  </w:rPr>
                  <m:t>i</m:t>
                </m:r>
              </m:sub>
            </m:sSub>
          </m:e>
        </m:acc>
      </m:oMath>
      <w:r w:rsidR="00E41AB9" w:rsidRPr="005C3E39">
        <w:t xml:space="preserve"> - величина i-го платежа в рублях;</w:t>
      </w:r>
    </w:p>
    <w:p w14:paraId="7B0E77FC" w14:textId="77777777" w:rsidR="00E41AB9" w:rsidRPr="005C3E39" w:rsidRDefault="002B470C" w:rsidP="00E41AB9">
      <w:pPr>
        <w:spacing w:after="120" w:line="276" w:lineRule="auto"/>
        <w:ind w:left="709"/>
        <w:jc w:val="both"/>
      </w:pPr>
      <m:oMath>
        <m:sSub>
          <m:sSubPr>
            <m:ctrlPr>
              <w:rPr>
                <w:rFonts w:ascii="Cambria Math" w:hAnsi="Cambria Math"/>
                <w:i/>
              </w:rPr>
            </m:ctrlPr>
          </m:sSubPr>
          <m:e>
            <m:r>
              <w:rPr>
                <w:rFonts w:ascii="Cambria Math" w:hAnsi="Cambria Math"/>
              </w:rPr>
              <m:t>t</m:t>
            </m:r>
          </m:e>
          <m:sub>
            <m:r>
              <w:rPr>
                <w:rFonts w:ascii="Cambria Math" w:hAnsi="Cambria Math"/>
              </w:rPr>
              <m:t>i</m:t>
            </m:r>
          </m:sub>
        </m:sSub>
      </m:oMath>
      <w:r w:rsidR="00E41AB9" w:rsidRPr="005C3E39">
        <w:t xml:space="preserve"> - дата i-го платежа;</w:t>
      </w:r>
    </w:p>
    <w:p w14:paraId="751DECC3" w14:textId="77777777" w:rsidR="00E41AB9" w:rsidRPr="005C3E39" w:rsidRDefault="002B470C" w:rsidP="00E41AB9">
      <w:pPr>
        <w:spacing w:after="120" w:line="276" w:lineRule="auto"/>
        <w:ind w:left="709"/>
        <w:jc w:val="both"/>
      </w:pP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E41AB9" w:rsidRPr="005C3E39">
        <w:t xml:space="preserve"> - дата оценки.</w:t>
      </w:r>
    </w:p>
    <w:p w14:paraId="1810FC8A" w14:textId="77777777" w:rsidR="00E41AB9" w:rsidRPr="005C3E39" w:rsidRDefault="00E41AB9" w:rsidP="00E41AB9">
      <w:pPr>
        <w:spacing w:after="120" w:line="276" w:lineRule="auto"/>
        <w:ind w:left="709"/>
        <w:jc w:val="both"/>
      </w:pPr>
      <w:r w:rsidRPr="005C3E39">
        <w:t>Промежуточные округления не производятся, полученный результат округляется с точностью до 2 знаков после запятой.</w:t>
      </w:r>
    </w:p>
    <w:p w14:paraId="5EB4EBCF" w14:textId="77777777" w:rsidR="00E41AB9" w:rsidRPr="005C3E39" w:rsidRDefault="00E41AB9" w:rsidP="00E41AB9">
      <w:pPr>
        <w:spacing w:line="276" w:lineRule="auto"/>
        <w:ind w:left="709"/>
        <w:jc w:val="both"/>
      </w:pPr>
    </w:p>
    <w:p w14:paraId="5DC74E72" w14:textId="77777777" w:rsidR="00E41AB9" w:rsidRPr="005C3E39" w:rsidRDefault="00E41AB9" w:rsidP="00E41AB9">
      <w:pPr>
        <w:spacing w:after="200" w:line="276" w:lineRule="auto"/>
        <w:contextualSpacing/>
        <w:jc w:val="both"/>
        <w:rPr>
          <w:rFonts w:eastAsia="Calibri"/>
        </w:rPr>
      </w:pPr>
      <w:r w:rsidRPr="005C3E39">
        <w:rPr>
          <w:rFonts w:eastAsia="Calibri"/>
        </w:rPr>
        <w:t>Величина i-го платежа в рублях (</w:t>
      </w:r>
      <m:oMath>
        <m:acc>
          <m:accPr>
            <m:ctrlPr>
              <w:rPr>
                <w:rFonts w:ascii="Cambria Math" w:hAnsi="Cambria Math"/>
                <w:i/>
              </w:rPr>
            </m:ctrlPr>
          </m:accPr>
          <m:e>
            <m:sSub>
              <m:sSubPr>
                <m:ctrlPr>
                  <w:rPr>
                    <w:rFonts w:ascii="Cambria Math" w:eastAsia="Calibri" w:hAnsi="Cambria Math"/>
                    <w:i/>
                  </w:rPr>
                </m:ctrlPr>
              </m:sSubPr>
              <m:e>
                <m:r>
                  <w:rPr>
                    <w:rFonts w:ascii="Cambria Math" w:eastAsia="Calibri" w:hAnsi="Cambria Math"/>
                  </w:rPr>
                  <m:t>CF</m:t>
                </m:r>
              </m:e>
              <m:sub>
                <m:r>
                  <w:rPr>
                    <w:rFonts w:ascii="Cambria Math" w:eastAsia="Calibri" w:hAnsi="Cambria Math"/>
                  </w:rPr>
                  <m:t>i</m:t>
                </m:r>
              </m:sub>
            </m:sSub>
          </m:e>
        </m:acc>
      </m:oMath>
      <w:r w:rsidRPr="005C3E39">
        <w:rPr>
          <w:rFonts w:eastAsia="Calibri"/>
        </w:rPr>
        <w:t>) рассчитывается по следующей формуле:</w:t>
      </w:r>
    </w:p>
    <w:p w14:paraId="42195AFC" w14:textId="77777777" w:rsidR="00E41AB9" w:rsidRPr="005C3E39" w:rsidRDefault="002B470C" w:rsidP="00E41AB9">
      <w:pPr>
        <w:spacing w:after="200" w:line="276" w:lineRule="auto"/>
        <w:ind w:left="360"/>
        <w:contextualSpacing/>
        <w:jc w:val="both"/>
        <w:rPr>
          <w:rFonts w:eastAsia="Calibri"/>
          <w:i/>
          <w:lang w:val="en-US"/>
        </w:rPr>
      </w:pPr>
      <m:oMathPara>
        <m:oMath>
          <m:acc>
            <m:accPr>
              <m:ctrlPr>
                <w:rPr>
                  <w:rFonts w:ascii="Cambria Math" w:eastAsia="Calibri" w:hAnsi="Cambria Math"/>
                  <w:i/>
                </w:rPr>
              </m:ctrlPr>
            </m:accPr>
            <m:e>
              <m:sSub>
                <m:sSubPr>
                  <m:ctrlPr>
                    <w:rPr>
                      <w:rFonts w:ascii="Cambria Math" w:eastAsia="Calibri" w:hAnsi="Cambria Math"/>
                      <w:i/>
                    </w:rPr>
                  </m:ctrlPr>
                </m:sSubPr>
                <m:e>
                  <m:r>
                    <w:rPr>
                      <w:rFonts w:ascii="Cambria Math" w:eastAsia="Calibri" w:hAnsi="Cambria Math"/>
                    </w:rPr>
                    <m:t>CF</m:t>
                  </m:r>
                </m:e>
                <m:sub>
                  <m:r>
                    <w:rPr>
                      <w:rFonts w:ascii="Cambria Math" w:eastAsia="Calibri" w:hAnsi="Cambria Math"/>
                    </w:rPr>
                    <m:t>i</m:t>
                  </m:r>
                </m:sub>
              </m:sSub>
            </m:e>
          </m:acc>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CF</m:t>
              </m:r>
            </m:e>
            <m:sub>
              <m:r>
                <w:rPr>
                  <w:rFonts w:ascii="Cambria Math" w:eastAsia="Calibri" w:hAnsi="Cambria Math"/>
                </w:rPr>
                <m:t>i</m:t>
              </m:r>
            </m:sub>
          </m:sSub>
          <m:r>
            <w:rPr>
              <w:rFonts w:ascii="Cambria Math" w:eastAsia="Calibri" w:hAnsi="Cambria Math"/>
            </w:rPr>
            <m:t>*</m:t>
          </m:r>
          <m:r>
            <w:rPr>
              <w:rFonts w:ascii="Cambria Math" w:eastAsia="Calibri" w:hAnsi="Cambria Math"/>
              <w:lang w:val="en-US"/>
            </w:rPr>
            <m:t>F</m:t>
          </m:r>
        </m:oMath>
      </m:oMathPara>
    </w:p>
    <w:p w14:paraId="61C43AC7" w14:textId="77777777" w:rsidR="00E41AB9" w:rsidRPr="005C3E39" w:rsidRDefault="00E41AB9" w:rsidP="00E41AB9">
      <w:pPr>
        <w:spacing w:line="276" w:lineRule="auto"/>
        <w:ind w:left="709"/>
        <w:contextualSpacing/>
        <w:jc w:val="both"/>
        <w:rPr>
          <w:rFonts w:eastAsia="Calibri"/>
        </w:rPr>
      </w:pPr>
      <w:r w:rsidRPr="005C3E39">
        <w:rPr>
          <w:rFonts w:eastAsia="Calibri"/>
        </w:rPr>
        <w:t>где</w:t>
      </w:r>
    </w:p>
    <w:p w14:paraId="400FDE34" w14:textId="77777777" w:rsidR="00E41AB9" w:rsidRPr="005C3E39" w:rsidRDefault="002B470C" w:rsidP="00E41AB9">
      <w:pPr>
        <w:spacing w:after="120" w:line="276" w:lineRule="auto"/>
        <w:ind w:left="709"/>
        <w:jc w:val="both"/>
      </w:pPr>
      <m:oMath>
        <m:acc>
          <m:accPr>
            <m:ctrlPr>
              <w:rPr>
                <w:rFonts w:ascii="Cambria Math" w:hAnsi="Cambria Math"/>
                <w:i/>
              </w:rPr>
            </m:ctrlPr>
          </m:accPr>
          <m:e>
            <m:sSub>
              <m:sSubPr>
                <m:ctrlPr>
                  <w:rPr>
                    <w:rFonts w:ascii="Cambria Math" w:hAnsi="Cambria Math"/>
                    <w:i/>
                  </w:rPr>
                </m:ctrlPr>
              </m:sSubPr>
              <m:e>
                <m:r>
                  <w:rPr>
                    <w:rFonts w:ascii="Cambria Math" w:hAnsi="Cambria Math"/>
                  </w:rPr>
                  <m:t>CF</m:t>
                </m:r>
              </m:e>
              <m:sub>
                <m:r>
                  <w:rPr>
                    <w:rFonts w:ascii="Cambria Math" w:hAnsi="Cambria Math"/>
                  </w:rPr>
                  <m:t>i</m:t>
                </m:r>
              </m:sub>
            </m:sSub>
          </m:e>
        </m:acc>
      </m:oMath>
      <w:r w:rsidR="00E41AB9" w:rsidRPr="005C3E39">
        <w:t xml:space="preserve"> - величина i-го платежа в рублях;</w:t>
      </w:r>
    </w:p>
    <w:p w14:paraId="3BCC38AC" w14:textId="77777777" w:rsidR="00E41AB9" w:rsidRPr="005C3E39" w:rsidRDefault="002B470C" w:rsidP="00E41AB9">
      <w:pPr>
        <w:spacing w:after="120" w:line="276" w:lineRule="auto"/>
        <w:ind w:left="709"/>
        <w:jc w:val="both"/>
      </w:pPr>
      <m:oMath>
        <m:sSub>
          <m:sSubPr>
            <m:ctrlPr>
              <w:rPr>
                <w:rFonts w:ascii="Cambria Math" w:hAnsi="Cambria Math"/>
                <w:i/>
              </w:rPr>
            </m:ctrlPr>
          </m:sSubPr>
          <m:e>
            <m:r>
              <w:rPr>
                <w:rFonts w:ascii="Cambria Math" w:hAnsi="Cambria Math"/>
                <w:lang w:val="en-US"/>
              </w:rPr>
              <m:t>CF</m:t>
            </m:r>
          </m:e>
          <m:sub>
            <m:r>
              <w:rPr>
                <w:rFonts w:ascii="Cambria Math" w:hAnsi="Cambria Math"/>
              </w:rPr>
              <m:t>i</m:t>
            </m:r>
          </m:sub>
        </m:sSub>
      </m:oMath>
      <w:r w:rsidR="00E41AB9" w:rsidRPr="005C3E39">
        <w:t xml:space="preserve"> - величина i-го платежа в валюте номинала;</w:t>
      </w:r>
    </w:p>
    <w:p w14:paraId="24A6F8C6" w14:textId="77777777" w:rsidR="00E41AB9" w:rsidRPr="005C3E39" w:rsidRDefault="00E41AB9" w:rsidP="00E41AB9">
      <w:pPr>
        <w:spacing w:after="120" w:line="276" w:lineRule="auto"/>
        <w:ind w:left="709"/>
        <w:jc w:val="both"/>
        <w:rPr>
          <w:i/>
        </w:rPr>
      </w:pPr>
      <m:oMath>
        <m:r>
          <w:rPr>
            <w:rFonts w:ascii="Cambria Math" w:hAnsi="Cambria Math"/>
            <w:lang w:val="en-US"/>
          </w:rPr>
          <w:lastRenderedPageBreak/>
          <m:t>F</m:t>
        </m:r>
      </m:oMath>
      <w:r w:rsidRPr="005C3E39">
        <w:rPr>
          <w:i/>
        </w:rPr>
        <w:t xml:space="preserve"> - </w:t>
      </w:r>
      <w:r w:rsidRPr="005C3E39">
        <w:t>форвардный курс рубля по отношению к валюте номинала, на дату расчета</w:t>
      </w:r>
    </w:p>
    <w:p w14:paraId="34A2990D" w14:textId="77777777" w:rsidR="00E41AB9" w:rsidRPr="005C3E39" w:rsidRDefault="00E41AB9" w:rsidP="00E41AB9">
      <w:pPr>
        <w:spacing w:line="276" w:lineRule="auto"/>
        <w:ind w:left="709"/>
        <w:jc w:val="both"/>
      </w:pPr>
    </w:p>
    <w:p w14:paraId="5CD64862" w14:textId="77777777" w:rsidR="00E41AB9" w:rsidRPr="005C3E39" w:rsidRDefault="00E41AB9" w:rsidP="00E41AB9">
      <w:pPr>
        <w:spacing w:line="276" w:lineRule="auto"/>
        <w:ind w:left="709"/>
        <w:jc w:val="both"/>
      </w:pPr>
    </w:p>
    <w:p w14:paraId="23A3CE71" w14:textId="77777777" w:rsidR="00E41AB9" w:rsidRPr="005C3E39" w:rsidRDefault="00E41AB9" w:rsidP="00E41AB9">
      <w:pPr>
        <w:spacing w:after="200" w:line="276" w:lineRule="auto"/>
        <w:contextualSpacing/>
        <w:jc w:val="both"/>
        <w:rPr>
          <w:rFonts w:eastAsia="Calibri"/>
        </w:rPr>
      </w:pPr>
      <w:r w:rsidRPr="005C3E39">
        <w:rPr>
          <w:rFonts w:eastAsia="Calibri"/>
        </w:rPr>
        <w:t>Величина форвардного курса рассчитывается по формуле:</w:t>
      </w:r>
    </w:p>
    <w:p w14:paraId="5E337BAC" w14:textId="77777777" w:rsidR="00E41AB9" w:rsidRPr="005C3E39" w:rsidRDefault="00E41AB9" w:rsidP="00E41AB9">
      <w:pPr>
        <w:spacing w:after="200" w:line="276" w:lineRule="auto"/>
        <w:ind w:left="360"/>
        <w:contextualSpacing/>
        <w:jc w:val="both"/>
        <w:rPr>
          <w:rFonts w:eastAsia="Calibri"/>
        </w:rPr>
      </w:pPr>
      <m:oMathPara>
        <m:oMath>
          <m:r>
            <w:rPr>
              <w:rFonts w:ascii="Cambria Math" w:eastAsia="Calibri" w:hAnsi="Cambria Math"/>
              <w:color w:val="000000"/>
              <w:lang w:val="en-US"/>
            </w:rPr>
            <m:t>F</m:t>
          </m:r>
          <m:r>
            <m:rPr>
              <m:sty m:val="p"/>
            </m:rPr>
            <w:rPr>
              <w:rFonts w:ascii="Cambria Math" w:eastAsia="Calibri" w:hAnsi="Cambria Math"/>
              <w:color w:val="000000"/>
            </w:rPr>
            <m:t>=</m:t>
          </m:r>
          <m:r>
            <w:rPr>
              <w:rFonts w:ascii="Cambria Math" w:hAnsi="Cambria Math"/>
              <w:color w:val="000000"/>
            </w:rPr>
            <m:t>S</m:t>
          </m:r>
          <m:r>
            <w:rPr>
              <w:rFonts w:ascii="Cambria Math" w:eastAsia="Calibri" w:hAnsi="Cambria Math"/>
              <w:color w:val="000000"/>
            </w:rPr>
            <m:t>*</m:t>
          </m:r>
          <m:f>
            <m:fPr>
              <m:ctrlPr>
                <w:rPr>
                  <w:rFonts w:ascii="Cambria Math" w:hAnsi="Cambria Math"/>
                  <w:i/>
                  <w:iCs/>
                  <w:color w:val="000000"/>
                </w:rPr>
              </m:ctrlPr>
            </m:fPr>
            <m:num>
              <m:sSup>
                <m:sSupPr>
                  <m:ctrlPr>
                    <w:rPr>
                      <w:rFonts w:ascii="Cambria Math" w:hAnsi="Cambria Math"/>
                      <w:i/>
                      <w:iCs/>
                      <w:color w:val="000000"/>
                    </w:rPr>
                  </m:ctrlPr>
                </m:sSupPr>
                <m:e>
                  <m:d>
                    <m:dPr>
                      <m:ctrlPr>
                        <w:rPr>
                          <w:rFonts w:ascii="Cambria Math" w:hAnsi="Cambria Math"/>
                          <w:i/>
                          <w:iCs/>
                          <w:color w:val="000000"/>
                        </w:rPr>
                      </m:ctrlPr>
                    </m:dPr>
                    <m:e>
                      <m:r>
                        <w:rPr>
                          <w:rFonts w:ascii="Cambria Math" w:eastAsia="Calibri" w:hAnsi="Cambria Math"/>
                          <w:color w:val="000000"/>
                        </w:rPr>
                        <m:t>1+</m:t>
                      </m:r>
                      <m:sSub>
                        <m:sSubPr>
                          <m:ctrlPr>
                            <w:rPr>
                              <w:rFonts w:ascii="Cambria Math" w:hAnsi="Cambria Math"/>
                              <w:i/>
                              <w:iCs/>
                              <w:color w:val="000000"/>
                            </w:rPr>
                          </m:ctrlPr>
                        </m:sSubPr>
                        <m:e>
                          <m:r>
                            <w:rPr>
                              <w:rFonts w:ascii="Cambria Math" w:eastAsia="Calibri" w:hAnsi="Cambria Math"/>
                              <w:color w:val="000000"/>
                            </w:rPr>
                            <m:t>r</m:t>
                          </m:r>
                        </m:e>
                        <m:sub>
                          <m:r>
                            <w:rPr>
                              <w:rFonts w:ascii="Cambria Math" w:eastAsia="Calibri" w:hAnsi="Cambria Math"/>
                              <w:color w:val="000000"/>
                            </w:rPr>
                            <m:t>RUB</m:t>
                          </m:r>
                        </m:sub>
                      </m:sSub>
                    </m:e>
                  </m:d>
                </m:e>
                <m:sup>
                  <m:r>
                    <w:rPr>
                      <w:rFonts w:ascii="Cambria Math" w:eastAsia="Calibri" w:hAnsi="Cambria Math"/>
                      <w:color w:val="000000"/>
                    </w:rPr>
                    <m:t>t</m:t>
                  </m:r>
                </m:sup>
              </m:sSup>
            </m:num>
            <m:den>
              <m:sSup>
                <m:sSupPr>
                  <m:ctrlPr>
                    <w:rPr>
                      <w:rFonts w:ascii="Cambria Math" w:hAnsi="Cambria Math"/>
                      <w:i/>
                      <w:iCs/>
                      <w:color w:val="000000"/>
                    </w:rPr>
                  </m:ctrlPr>
                </m:sSupPr>
                <m:e>
                  <m:d>
                    <m:dPr>
                      <m:ctrlPr>
                        <w:rPr>
                          <w:rFonts w:ascii="Cambria Math" w:hAnsi="Cambria Math"/>
                          <w:i/>
                          <w:iCs/>
                          <w:color w:val="000000"/>
                        </w:rPr>
                      </m:ctrlPr>
                    </m:dPr>
                    <m:e>
                      <m:r>
                        <w:rPr>
                          <w:rFonts w:ascii="Cambria Math" w:eastAsia="Calibri" w:hAnsi="Cambria Math"/>
                          <w:color w:val="000000"/>
                        </w:rPr>
                        <m:t>1+</m:t>
                      </m:r>
                      <m:sSub>
                        <m:sSubPr>
                          <m:ctrlPr>
                            <w:rPr>
                              <w:rFonts w:ascii="Cambria Math" w:hAnsi="Cambria Math"/>
                              <w:i/>
                              <w:iCs/>
                              <w:color w:val="000000"/>
                            </w:rPr>
                          </m:ctrlPr>
                        </m:sSubPr>
                        <m:e>
                          <m:r>
                            <w:rPr>
                              <w:rFonts w:ascii="Cambria Math" w:eastAsia="Calibri" w:hAnsi="Cambria Math"/>
                              <w:color w:val="000000"/>
                            </w:rPr>
                            <m:t>r</m:t>
                          </m:r>
                        </m:e>
                        <m:sub>
                          <m:r>
                            <w:rPr>
                              <w:rFonts w:ascii="Cambria Math" w:eastAsia="Calibri" w:hAnsi="Cambria Math"/>
                              <w:color w:val="000000"/>
                            </w:rPr>
                            <m:t>FOR</m:t>
                          </m:r>
                        </m:sub>
                      </m:sSub>
                    </m:e>
                  </m:d>
                </m:e>
                <m:sup>
                  <m:r>
                    <w:rPr>
                      <w:rFonts w:ascii="Cambria Math" w:eastAsia="Calibri" w:hAnsi="Cambria Math"/>
                      <w:color w:val="000000"/>
                    </w:rPr>
                    <m:t>t</m:t>
                  </m:r>
                </m:sup>
              </m:sSup>
            </m:den>
          </m:f>
        </m:oMath>
      </m:oMathPara>
    </w:p>
    <w:p w14:paraId="781C5F48" w14:textId="77777777" w:rsidR="00E41AB9" w:rsidRPr="005C3E39" w:rsidRDefault="00E41AB9" w:rsidP="00E41AB9">
      <w:pPr>
        <w:spacing w:line="276" w:lineRule="auto"/>
        <w:ind w:left="709"/>
        <w:contextualSpacing/>
        <w:jc w:val="both"/>
        <w:rPr>
          <w:rFonts w:eastAsia="Calibri"/>
        </w:rPr>
      </w:pPr>
      <w:r w:rsidRPr="005C3E39">
        <w:rPr>
          <w:rFonts w:eastAsia="Calibri"/>
        </w:rPr>
        <w:t>где</w:t>
      </w:r>
    </w:p>
    <w:p w14:paraId="73803946" w14:textId="77777777" w:rsidR="00E41AB9" w:rsidRPr="005C3E39" w:rsidRDefault="00E41AB9" w:rsidP="00E41AB9">
      <w:pPr>
        <w:spacing w:after="120" w:line="276" w:lineRule="auto"/>
        <w:ind w:left="709"/>
        <w:jc w:val="both"/>
        <w:rPr>
          <w:i/>
        </w:rPr>
      </w:pPr>
      <m:oMath>
        <m:r>
          <w:rPr>
            <w:rFonts w:ascii="Cambria Math" w:hAnsi="Cambria Math"/>
            <w:lang w:val="en-US"/>
          </w:rPr>
          <m:t>F</m:t>
        </m:r>
      </m:oMath>
      <w:r w:rsidRPr="005C3E39">
        <w:rPr>
          <w:i/>
        </w:rPr>
        <w:t xml:space="preserve"> - </w:t>
      </w:r>
      <w:r w:rsidRPr="005C3E39">
        <w:t>форвардный курс рубля по отношению к валюте номинала, на дату расчета</w:t>
      </w:r>
    </w:p>
    <w:p w14:paraId="192236D5" w14:textId="77777777" w:rsidR="00E41AB9" w:rsidRPr="005C3E39" w:rsidRDefault="00E41AB9" w:rsidP="00E41AB9">
      <w:pPr>
        <w:spacing w:after="120" w:line="276" w:lineRule="auto"/>
        <w:ind w:left="709"/>
        <w:jc w:val="both"/>
      </w:pPr>
      <w:r w:rsidRPr="005C3E39">
        <w:rPr>
          <w:i/>
          <w:lang w:val="en-US"/>
        </w:rPr>
        <w:t>S</w:t>
      </w:r>
      <w:r w:rsidRPr="005C3E39">
        <w:t xml:space="preserve"> - текущий спот-курс рубля по отношению к иностранной валюте, установленный Банком России на дату расчетов. ;</w:t>
      </w:r>
    </w:p>
    <w:p w14:paraId="509E3B5B" w14:textId="77777777" w:rsidR="00E41AB9" w:rsidRPr="005C3E39" w:rsidRDefault="00E41AB9" w:rsidP="00E41AB9">
      <w:pPr>
        <w:spacing w:after="120" w:line="276" w:lineRule="auto"/>
        <w:ind w:left="709"/>
        <w:jc w:val="both"/>
      </w:pPr>
      <w:r w:rsidRPr="005C3E39">
        <w:rPr>
          <w:i/>
        </w:rPr>
        <w:t xml:space="preserve"> </w:t>
      </w:r>
      <w:r w:rsidRPr="005C3E39">
        <w:rPr>
          <w:i/>
          <w:lang w:val="en-US"/>
        </w:rPr>
        <w:t>t</w:t>
      </w:r>
      <w:r w:rsidRPr="005C3E39">
        <w:rPr>
          <w:i/>
        </w:rPr>
        <w:t xml:space="preserve"> </w:t>
      </w:r>
      <w:r>
        <w:rPr>
          <w:i/>
          <w:vertAlign w:val="subscript"/>
        </w:rPr>
        <w:t>=</w:t>
      </w:r>
      <w:r w:rsidRPr="005C3E39">
        <w:t xml:space="preserve">  </w:t>
      </w: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r>
                  <w:rPr>
                    <w:rFonts w:ascii="Cambria Math" w:hAnsi="Cambria Math"/>
                  </w:rPr>
                  <m:t>-</m:t>
                </m:r>
              </m:sub>
            </m:sSub>
            <m:sSub>
              <m:sSubPr>
                <m:ctrlPr>
                  <w:rPr>
                    <w:rFonts w:ascii="Cambria Math" w:hAnsi="Cambria Math"/>
                    <w:i/>
                    <w:lang w:val="en-US"/>
                  </w:rPr>
                </m:ctrlPr>
              </m:sSubPr>
              <m:e>
                <m:r>
                  <w:rPr>
                    <w:rFonts w:ascii="Cambria Math" w:hAnsi="Cambria Math"/>
                    <w:lang w:val="en-US"/>
                  </w:rPr>
                  <m:t>t</m:t>
                </m:r>
              </m:e>
              <m:sub>
                <m:r>
                  <w:rPr>
                    <w:rFonts w:ascii="Cambria Math" w:hAnsi="Cambria Math"/>
                  </w:rPr>
                  <m:t>0</m:t>
                </m:r>
              </m:sub>
            </m:sSub>
          </m:num>
          <m:den>
            <m:r>
              <w:rPr>
                <w:rFonts w:ascii="Cambria Math" w:hAnsi="Cambria Math"/>
              </w:rPr>
              <m:t>365</m:t>
            </m:r>
          </m:den>
        </m:f>
      </m:oMath>
    </w:p>
    <w:p w14:paraId="6157F1D1" w14:textId="77777777" w:rsidR="00E41AB9" w:rsidRPr="005C3E39" w:rsidRDefault="002B470C" w:rsidP="00E41AB9">
      <w:pPr>
        <w:spacing w:after="120" w:line="276" w:lineRule="auto"/>
        <w:ind w:left="709"/>
        <w:jc w:val="both"/>
      </w:pP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RUB</m:t>
            </m:r>
          </m:sub>
        </m:sSub>
      </m:oMath>
      <w:r w:rsidR="00E41AB9" w:rsidRPr="005C3E39">
        <w:rPr>
          <w:i/>
        </w:rPr>
        <w:t xml:space="preserve"> - </w:t>
      </w:r>
      <w:r w:rsidR="00E41AB9" w:rsidRPr="005C3E39">
        <w:t>доходность рублевой кривой бескупонной доходности, определённой на дату расчетов в точке, соответствующей сроку до выплаты i-го платежа (определяется в соответствии с «Методикой определения кривой бескупонной доходности государственных облигаций (облигации федеральных займов)», утверждаемой правлением ПАО «Московская биржа»)</w:t>
      </w:r>
    </w:p>
    <w:p w14:paraId="05E4BE03" w14:textId="77777777" w:rsidR="00E41AB9" w:rsidRPr="005C3E39" w:rsidRDefault="002B470C" w:rsidP="00E41AB9">
      <w:pPr>
        <w:spacing w:after="120" w:line="276" w:lineRule="auto"/>
        <w:ind w:left="709"/>
        <w:jc w:val="both"/>
      </w:pP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oMath>
      <w:r w:rsidR="00E41AB9" w:rsidRPr="005C3E39">
        <w:rPr>
          <w:i/>
        </w:rPr>
        <w:t xml:space="preserve"> - </w:t>
      </w:r>
      <w:r w:rsidR="00E41AB9" w:rsidRPr="005C3E39">
        <w:t xml:space="preserve">доходность иностранной кривой бескупонной доходности, определённой на дату расчетов в точке, соответствующей сроку до выплаты i-го платежа. </w:t>
      </w:r>
    </w:p>
    <w:p w14:paraId="335A3FD3" w14:textId="77777777" w:rsidR="00E41AB9" w:rsidRPr="005C3E39" w:rsidRDefault="00E41AB9" w:rsidP="00E41AB9">
      <w:pPr>
        <w:spacing w:before="240" w:line="276" w:lineRule="auto"/>
        <w:ind w:left="709"/>
        <w:jc w:val="both"/>
      </w:pPr>
      <w:r w:rsidRPr="005C3E39">
        <w:t xml:space="preserve">В случае, если инструмент номинирован в Долларах США – для определения значения </w:t>
      </w: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oMath>
      <w:r w:rsidRPr="005C3E39">
        <w:t xml:space="preserve"> используется кривая доходности государственных облигаций США</w:t>
      </w:r>
      <w:r w:rsidRPr="005C3E39">
        <w:rPr>
          <w:vertAlign w:val="superscript"/>
        </w:rPr>
        <w:footnoteReference w:id="5"/>
      </w:r>
      <w:r w:rsidRPr="005C3E39">
        <w:t xml:space="preserve">. </w:t>
      </w:r>
    </w:p>
    <w:p w14:paraId="284F471D" w14:textId="77777777" w:rsidR="00E41AB9" w:rsidRPr="005C3E39" w:rsidRDefault="00E41AB9" w:rsidP="00E41AB9">
      <w:pPr>
        <w:spacing w:before="240" w:line="276" w:lineRule="auto"/>
        <w:ind w:left="709"/>
        <w:jc w:val="both"/>
      </w:pPr>
      <w:r w:rsidRPr="005C3E39">
        <w:t xml:space="preserve">В случае, если инструмент номинирован в ЕВРО – для определения значения </w:t>
      </w: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oMath>
      <w:r w:rsidRPr="005C3E39">
        <w:t xml:space="preserve"> используется кривая доходности государственных облигаций Еврозоны</w:t>
      </w:r>
      <w:r w:rsidRPr="005C3E39">
        <w:rPr>
          <w:vertAlign w:val="superscript"/>
        </w:rPr>
        <w:footnoteReference w:id="6"/>
      </w:r>
      <w:r w:rsidRPr="005C3E39">
        <w:t xml:space="preserve">. </w:t>
      </w:r>
    </w:p>
    <w:p w14:paraId="0467E5A0" w14:textId="77777777" w:rsidR="00E41AB9" w:rsidRPr="005C3E39" w:rsidRDefault="00E41AB9" w:rsidP="00E41AB9">
      <w:pPr>
        <w:spacing w:before="240" w:line="276" w:lineRule="auto"/>
        <w:ind w:left="709"/>
        <w:jc w:val="both"/>
        <w:rPr>
          <w:iCs/>
          <w:color w:val="000000"/>
        </w:rPr>
      </w:pPr>
      <w:r w:rsidRPr="005C3E39">
        <w:t xml:space="preserve">При этом, значения ставок </w:t>
      </w: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oMath>
      <w:r w:rsidRPr="005C3E39">
        <w:rPr>
          <w:iCs/>
          <w:color w:val="000000"/>
        </w:rPr>
        <w:t>, соответствующие недискретным тенорам (срокам) рассчитываются методом линейной интерполяции исходя из существующих значений ставок соответствующей кривой бескупонной доходности. Расчет происходит по следующей формуле:</w:t>
      </w:r>
    </w:p>
    <w:p w14:paraId="20E0E68C" w14:textId="77777777" w:rsidR="00E41AB9" w:rsidRPr="005C3E39" w:rsidRDefault="00E41AB9" w:rsidP="00E41AB9">
      <w:pPr>
        <w:spacing w:before="240" w:line="276" w:lineRule="auto"/>
        <w:ind w:left="709"/>
        <w:jc w:val="both"/>
        <w:rPr>
          <w:i/>
        </w:rPr>
      </w:pPr>
      <m:oMathPara>
        <m:oMath>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0</m:t>
                      </m:r>
                    </m:sub>
                  </m:sSub>
                </m:e>
              </m:d>
            </m:num>
            <m:den>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e>
              </m:d>
            </m:den>
          </m:f>
        </m:oMath>
      </m:oMathPara>
    </w:p>
    <w:p w14:paraId="6EF93DE8" w14:textId="77777777" w:rsidR="00E41AB9" w:rsidRPr="005C3E39" w:rsidRDefault="00E41AB9" w:rsidP="00E41AB9">
      <w:pPr>
        <w:spacing w:line="276" w:lineRule="auto"/>
        <w:ind w:left="709"/>
        <w:contextualSpacing/>
        <w:jc w:val="both"/>
        <w:rPr>
          <w:rFonts w:eastAsia="Calibri"/>
        </w:rPr>
      </w:pPr>
      <w:r w:rsidRPr="005C3E39">
        <w:rPr>
          <w:rFonts w:eastAsia="Calibri"/>
        </w:rPr>
        <w:t>где</w:t>
      </w:r>
    </w:p>
    <w:p w14:paraId="6AC8DE32" w14:textId="77777777" w:rsidR="00E41AB9" w:rsidRPr="005C3E39" w:rsidRDefault="00E41AB9" w:rsidP="00E41AB9">
      <w:pPr>
        <w:spacing w:line="276" w:lineRule="auto"/>
        <w:ind w:left="709"/>
        <w:jc w:val="both"/>
        <w:rPr>
          <w:iCs/>
          <w:color w:val="000000"/>
        </w:rPr>
      </w:pPr>
      <w:r w:rsidRPr="005C3E39">
        <w:rPr>
          <w:i/>
          <w:lang w:val="en-US"/>
        </w:rPr>
        <w:t>X</w:t>
      </w:r>
      <w:r w:rsidRPr="005C3E39">
        <w:t xml:space="preserve"> – тенор (срок) для значения ставки </w:t>
      </w: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oMath>
      <w:r w:rsidRPr="005C3E39">
        <w:rPr>
          <w:iCs/>
          <w:color w:val="000000"/>
        </w:rPr>
        <w:t>, значение которой отсутствует в соответствующей кривой бескупонной доходности</w:t>
      </w:r>
    </w:p>
    <w:p w14:paraId="37011A2D" w14:textId="77777777" w:rsidR="00E41AB9" w:rsidRPr="005C3E39" w:rsidRDefault="00E41AB9" w:rsidP="00E41AB9">
      <w:pPr>
        <w:spacing w:before="240" w:line="276" w:lineRule="auto"/>
        <w:ind w:left="709"/>
        <w:jc w:val="both"/>
        <w:rPr>
          <w:i/>
        </w:rPr>
      </w:pPr>
      <w:r w:rsidRPr="005C3E39">
        <w:rPr>
          <w:i/>
          <w:lang w:val="en-US"/>
        </w:rPr>
        <w:t>X</w:t>
      </w:r>
      <w:r w:rsidRPr="005C3E39">
        <w:rPr>
          <w:i/>
          <w:vertAlign w:val="subscript"/>
        </w:rPr>
        <w:t>0</w:t>
      </w:r>
      <w:r w:rsidRPr="005C3E39">
        <w:t xml:space="preserve"> и </w:t>
      </w:r>
      <w:r w:rsidRPr="005C3E39">
        <w:rPr>
          <w:i/>
          <w:lang w:val="en-US"/>
        </w:rPr>
        <w:t>X</w:t>
      </w:r>
      <w:r w:rsidRPr="005C3E39">
        <w:rPr>
          <w:i/>
          <w:vertAlign w:val="subscript"/>
        </w:rPr>
        <w:t>1</w:t>
      </w:r>
      <w:r w:rsidRPr="005C3E39">
        <w:t xml:space="preserve"> – ближайшие известные теноры (сроки) ставок </w:t>
      </w: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oMath>
      <w:r w:rsidRPr="005C3E39">
        <w:rPr>
          <w:iCs/>
          <w:color w:val="000000"/>
        </w:rPr>
        <w:t xml:space="preserve">, в пределы которых попадает </w:t>
      </w:r>
      <w:r w:rsidRPr="005C3E39">
        <w:rPr>
          <w:i/>
          <w:iCs/>
          <w:color w:val="000000"/>
          <w:lang w:val="en-US"/>
        </w:rPr>
        <w:t>X</w:t>
      </w:r>
      <w:r w:rsidRPr="005C3E39">
        <w:rPr>
          <w:iCs/>
          <w:color w:val="000000"/>
        </w:rPr>
        <w:t xml:space="preserve">, при этом </w:t>
      </w:r>
      <w:r w:rsidRPr="005C3E39">
        <w:rPr>
          <w:i/>
          <w:iCs/>
          <w:color w:val="000000"/>
          <w:lang w:val="en-US"/>
        </w:rPr>
        <w:t>X</w:t>
      </w:r>
      <w:r w:rsidRPr="005C3E39">
        <w:rPr>
          <w:i/>
          <w:iCs/>
          <w:color w:val="000000"/>
          <w:vertAlign w:val="subscript"/>
        </w:rPr>
        <w:t>1</w:t>
      </w:r>
      <w:r w:rsidRPr="005C3E39">
        <w:rPr>
          <w:i/>
          <w:iCs/>
          <w:color w:val="000000"/>
        </w:rPr>
        <w:t xml:space="preserve"> &gt; </w:t>
      </w:r>
      <w:r w:rsidRPr="005C3E39">
        <w:rPr>
          <w:i/>
          <w:iCs/>
          <w:color w:val="000000"/>
          <w:lang w:val="en-US"/>
        </w:rPr>
        <w:t>X</w:t>
      </w:r>
      <w:r w:rsidRPr="005C3E39">
        <w:rPr>
          <w:i/>
          <w:iCs/>
          <w:color w:val="000000"/>
        </w:rPr>
        <w:t xml:space="preserve"> &gt; </w:t>
      </w:r>
      <w:r w:rsidRPr="005C3E39">
        <w:rPr>
          <w:i/>
          <w:iCs/>
          <w:color w:val="000000"/>
          <w:lang w:val="en-US"/>
        </w:rPr>
        <w:t>X</w:t>
      </w:r>
      <w:r w:rsidRPr="005C3E39">
        <w:rPr>
          <w:i/>
          <w:iCs/>
          <w:color w:val="000000"/>
          <w:vertAlign w:val="subscript"/>
        </w:rPr>
        <w:t>0</w:t>
      </w:r>
    </w:p>
    <w:p w14:paraId="40560D7C" w14:textId="77777777" w:rsidR="00E41AB9" w:rsidRPr="005C3E39" w:rsidRDefault="00E41AB9" w:rsidP="00E41AB9">
      <w:pPr>
        <w:spacing w:before="240" w:line="276" w:lineRule="auto"/>
        <w:ind w:left="709"/>
        <w:jc w:val="both"/>
        <w:rPr>
          <w:iCs/>
          <w:color w:val="000000"/>
        </w:rPr>
      </w:pPr>
      <w:r w:rsidRPr="005C3E39">
        <w:rPr>
          <w:i/>
          <w:lang w:val="en-US"/>
        </w:rPr>
        <w:t>Y</w:t>
      </w:r>
      <w:r w:rsidRPr="005C3E39">
        <w:t xml:space="preserve"> – искомое значение ставки </w:t>
      </w: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oMath>
      <w:r w:rsidRPr="005C3E39">
        <w:rPr>
          <w:iCs/>
          <w:color w:val="000000"/>
        </w:rPr>
        <w:t xml:space="preserve"> соответствующее тенору (сроку) </w:t>
      </w:r>
      <w:r w:rsidRPr="005C3E39">
        <w:rPr>
          <w:i/>
          <w:iCs/>
          <w:color w:val="000000"/>
          <w:lang w:val="en-US"/>
        </w:rPr>
        <w:t>X</w:t>
      </w:r>
    </w:p>
    <w:p w14:paraId="40501F6B" w14:textId="77777777" w:rsidR="00E41AB9" w:rsidRPr="005C3E39" w:rsidRDefault="00E41AB9" w:rsidP="00E41AB9">
      <w:pPr>
        <w:spacing w:before="240" w:line="276" w:lineRule="auto"/>
        <w:ind w:left="709"/>
        <w:jc w:val="both"/>
        <w:rPr>
          <w:vertAlign w:val="subscript"/>
        </w:rPr>
      </w:pPr>
      <w:r w:rsidRPr="005C3E39">
        <w:rPr>
          <w:i/>
          <w:lang w:val="en-US"/>
        </w:rPr>
        <w:lastRenderedPageBreak/>
        <w:t>Y</w:t>
      </w:r>
      <w:r w:rsidRPr="005C3E39">
        <w:rPr>
          <w:i/>
          <w:vertAlign w:val="subscript"/>
        </w:rPr>
        <w:t>0</w:t>
      </w:r>
      <w:r w:rsidRPr="005C3E39">
        <w:t xml:space="preserve"> и </w:t>
      </w:r>
      <w:r w:rsidRPr="005C3E39">
        <w:rPr>
          <w:i/>
          <w:lang w:val="en-US"/>
        </w:rPr>
        <w:t>Y</w:t>
      </w:r>
      <w:r w:rsidRPr="005C3E39">
        <w:rPr>
          <w:i/>
          <w:vertAlign w:val="subscript"/>
        </w:rPr>
        <w:t>1</w:t>
      </w:r>
      <w:r w:rsidRPr="005C3E39">
        <w:t xml:space="preserve"> – значения ставок </w:t>
      </w:r>
      <m:oMath>
        <m:sSub>
          <m:sSubPr>
            <m:ctrlPr>
              <w:rPr>
                <w:rFonts w:ascii="Cambria Math" w:hAnsi="Cambria Math"/>
                <w:i/>
                <w:iCs/>
                <w:color w:val="000000"/>
              </w:rPr>
            </m:ctrlPr>
          </m:sSubPr>
          <m:e>
            <m:r>
              <w:rPr>
                <w:rFonts w:ascii="Cambria Math" w:hAnsi="Cambria Math"/>
                <w:color w:val="000000"/>
              </w:rPr>
              <m:t>r</m:t>
            </m:r>
          </m:e>
          <m:sub>
            <m:r>
              <w:rPr>
                <w:rFonts w:ascii="Cambria Math" w:hAnsi="Cambria Math"/>
                <w:color w:val="000000"/>
              </w:rPr>
              <m:t>FOR</m:t>
            </m:r>
          </m:sub>
        </m:sSub>
        <m:r>
          <w:rPr>
            <w:rFonts w:ascii="Cambria Math" w:hAnsi="Cambria Math"/>
            <w:color w:val="000000"/>
          </w:rPr>
          <m:t>,</m:t>
        </m:r>
      </m:oMath>
      <w:r w:rsidRPr="005C3E39">
        <w:rPr>
          <w:iCs/>
          <w:color w:val="000000"/>
        </w:rPr>
        <w:t xml:space="preserve"> соответствующие тенорам (срокам) </w:t>
      </w:r>
      <w:r w:rsidRPr="005C3E39">
        <w:rPr>
          <w:i/>
          <w:lang w:val="en-US"/>
        </w:rPr>
        <w:t>X</w:t>
      </w:r>
      <w:r w:rsidRPr="005C3E39">
        <w:rPr>
          <w:i/>
          <w:vertAlign w:val="subscript"/>
        </w:rPr>
        <w:t>0</w:t>
      </w:r>
      <w:r w:rsidRPr="005C3E39">
        <w:t xml:space="preserve"> и </w:t>
      </w:r>
      <w:r w:rsidRPr="005C3E39">
        <w:rPr>
          <w:i/>
          <w:lang w:val="en-US"/>
        </w:rPr>
        <w:t>X</w:t>
      </w:r>
      <w:r w:rsidRPr="005C3E39">
        <w:rPr>
          <w:i/>
          <w:vertAlign w:val="subscript"/>
        </w:rPr>
        <w:t>1</w:t>
      </w:r>
      <w:r w:rsidRPr="005C3E39">
        <w:rPr>
          <w:vertAlign w:val="subscript"/>
        </w:rPr>
        <w:t xml:space="preserve"> </w:t>
      </w:r>
    </w:p>
    <w:p w14:paraId="5CD22FC0" w14:textId="77777777" w:rsidR="00E41AB9" w:rsidRPr="005C3E39" w:rsidRDefault="00E41AB9" w:rsidP="00E41AB9">
      <w:pPr>
        <w:spacing w:before="240" w:line="276" w:lineRule="auto"/>
        <w:ind w:left="709"/>
        <w:contextualSpacing/>
        <w:jc w:val="both"/>
      </w:pPr>
    </w:p>
    <w:p w14:paraId="067EB777" w14:textId="77777777" w:rsidR="00E41AB9" w:rsidRPr="005C3E39" w:rsidRDefault="00E41AB9" w:rsidP="00E41AB9">
      <w:pPr>
        <w:tabs>
          <w:tab w:val="left" w:pos="709"/>
        </w:tabs>
        <w:spacing w:line="276" w:lineRule="auto"/>
        <w:ind w:left="360"/>
        <w:contextualSpacing/>
        <w:jc w:val="both"/>
        <w:rPr>
          <w:rFonts w:eastAsia="Calibri"/>
        </w:rPr>
      </w:pPr>
      <w:r w:rsidRPr="005C3E39">
        <w:rPr>
          <w:rFonts w:eastAsia="Calibri"/>
        </w:rPr>
        <w:t xml:space="preserve">При формировании графика будущих денежных потоков учитываются все денежные потоки в погашение основного долга и купонного дохода в течение ожидаемого срока обращения. </w:t>
      </w:r>
    </w:p>
    <w:p w14:paraId="4650F41F" w14:textId="77777777" w:rsidR="00E41AB9" w:rsidRPr="005C3E39" w:rsidRDefault="00E41AB9" w:rsidP="00E41AB9">
      <w:pPr>
        <w:tabs>
          <w:tab w:val="left" w:pos="709"/>
        </w:tabs>
        <w:spacing w:line="276" w:lineRule="auto"/>
        <w:ind w:left="709"/>
        <w:contextualSpacing/>
        <w:jc w:val="both"/>
        <w:rPr>
          <w:rFonts w:eastAsia="Calibri"/>
        </w:rPr>
      </w:pPr>
    </w:p>
    <w:p w14:paraId="2AB22354" w14:textId="77777777" w:rsidR="00E41AB9" w:rsidRPr="005C3E39" w:rsidRDefault="00E41AB9" w:rsidP="00E41AB9">
      <w:pPr>
        <w:tabs>
          <w:tab w:val="left" w:pos="709"/>
        </w:tabs>
        <w:spacing w:line="276" w:lineRule="auto"/>
        <w:ind w:left="709"/>
        <w:contextualSpacing/>
        <w:jc w:val="both"/>
        <w:rPr>
          <w:rFonts w:eastAsia="Calibri"/>
        </w:rPr>
      </w:pPr>
      <w:r w:rsidRPr="005C3E39">
        <w:rPr>
          <w:rFonts w:eastAsia="Calibri"/>
        </w:rPr>
        <w:t>Ожидаемый срок обращения ценной бумаги определяется с даты расчета справедливой стоимости (не включая) до наименьшей из дат (включая):</w:t>
      </w:r>
    </w:p>
    <w:p w14:paraId="0F020DBC" w14:textId="77777777" w:rsidR="00E41AB9" w:rsidRPr="005C3E39" w:rsidRDefault="00E41AB9" w:rsidP="00E41AB9">
      <w:pPr>
        <w:numPr>
          <w:ilvl w:val="0"/>
          <w:numId w:val="18"/>
        </w:numPr>
        <w:spacing w:line="276" w:lineRule="auto"/>
        <w:ind w:left="1276" w:hanging="283"/>
        <w:contextualSpacing/>
        <w:jc w:val="both"/>
        <w:rPr>
          <w:rFonts w:eastAsia="Calibri"/>
        </w:rPr>
      </w:pPr>
      <w:r w:rsidRPr="005C3E39">
        <w:rPr>
          <w:rFonts w:eastAsia="Calibri"/>
        </w:rPr>
        <w:t>даты оферты</w:t>
      </w:r>
      <w:r w:rsidRPr="005C3E39">
        <w:rPr>
          <w:rStyle w:val="af1"/>
          <w:rFonts w:eastAsia="Calibri"/>
        </w:rPr>
        <w:footnoteReference w:id="7"/>
      </w:r>
      <w:r w:rsidRPr="005C3E39">
        <w:rPr>
          <w:rFonts w:eastAsia="Calibri"/>
        </w:rPr>
        <w:t xml:space="preserve">, дающей владельцам облигаций право выкупа, ближайшей к дате определения справедливой стоимости (не включая дату определения справедливой стоимости). </w:t>
      </w:r>
    </w:p>
    <w:p w14:paraId="5CD58BF5" w14:textId="77777777" w:rsidR="00E41AB9" w:rsidRPr="005C3E39" w:rsidRDefault="00E41AB9" w:rsidP="00E41AB9">
      <w:pPr>
        <w:numPr>
          <w:ilvl w:val="0"/>
          <w:numId w:val="18"/>
        </w:numPr>
        <w:spacing w:line="276" w:lineRule="auto"/>
        <w:ind w:left="1276" w:hanging="283"/>
        <w:contextualSpacing/>
        <w:jc w:val="both"/>
        <w:rPr>
          <w:rFonts w:eastAsia="Calibri"/>
        </w:rPr>
      </w:pPr>
      <w:r w:rsidRPr="005C3E39">
        <w:rPr>
          <w:rFonts w:eastAsia="Calibri"/>
        </w:rPr>
        <w:t xml:space="preserve">даты полного погашения, предусмотренной условиями выпуска. </w:t>
      </w:r>
    </w:p>
    <w:p w14:paraId="07672BB8" w14:textId="77777777" w:rsidR="00E41AB9" w:rsidRPr="005C3E39" w:rsidRDefault="00E41AB9" w:rsidP="00E41AB9">
      <w:pPr>
        <w:jc w:val="both"/>
      </w:pPr>
    </w:p>
    <w:p w14:paraId="1C04F309" w14:textId="77777777" w:rsidR="00E41AB9" w:rsidRPr="005C3E39" w:rsidRDefault="00E41AB9" w:rsidP="00E41AB9">
      <w:pPr>
        <w:numPr>
          <w:ilvl w:val="0"/>
          <w:numId w:val="20"/>
        </w:numPr>
        <w:spacing w:line="276" w:lineRule="auto"/>
        <w:contextualSpacing/>
        <w:jc w:val="both"/>
        <w:rPr>
          <w:rFonts w:eastAsia="Calibri"/>
          <w:vanish/>
        </w:rPr>
      </w:pPr>
    </w:p>
    <w:p w14:paraId="04EC54CC" w14:textId="77777777" w:rsidR="00E41AB9" w:rsidRPr="005C3E39" w:rsidRDefault="00E41AB9" w:rsidP="00E41AB9">
      <w:pPr>
        <w:numPr>
          <w:ilvl w:val="0"/>
          <w:numId w:val="20"/>
        </w:numPr>
        <w:spacing w:line="276" w:lineRule="auto"/>
        <w:contextualSpacing/>
        <w:jc w:val="both"/>
        <w:rPr>
          <w:rFonts w:eastAsia="Calibri"/>
          <w:vanish/>
        </w:rPr>
      </w:pPr>
    </w:p>
    <w:p w14:paraId="797DD63F" w14:textId="77777777" w:rsidR="00E41AB9" w:rsidRPr="005C3E39" w:rsidRDefault="00E41AB9" w:rsidP="00E41AB9">
      <w:pPr>
        <w:numPr>
          <w:ilvl w:val="1"/>
          <w:numId w:val="20"/>
        </w:numPr>
        <w:spacing w:line="276" w:lineRule="auto"/>
        <w:contextualSpacing/>
        <w:jc w:val="both"/>
        <w:rPr>
          <w:rFonts w:eastAsia="Calibri"/>
          <w:vanish/>
        </w:rPr>
      </w:pPr>
    </w:p>
    <w:p w14:paraId="6B911B4E" w14:textId="77777777" w:rsidR="00E41AB9" w:rsidRPr="005C3E39" w:rsidRDefault="00E41AB9" w:rsidP="00E41AB9">
      <w:pPr>
        <w:spacing w:line="276" w:lineRule="auto"/>
        <w:ind w:left="792"/>
        <w:contextualSpacing/>
        <w:jc w:val="both"/>
        <w:rPr>
          <w:rFonts w:eastAsia="Calibri"/>
        </w:rPr>
      </w:pPr>
      <w:r w:rsidRPr="005C3E39">
        <w:rPr>
          <w:rFonts w:eastAsia="Calibri"/>
        </w:rPr>
        <w:t>Под датой денежного потока понимаются:</w:t>
      </w:r>
    </w:p>
    <w:p w14:paraId="38D1793F" w14:textId="77777777" w:rsidR="00E41AB9" w:rsidRPr="005C3E39" w:rsidRDefault="00E41AB9" w:rsidP="00E41AB9">
      <w:pPr>
        <w:numPr>
          <w:ilvl w:val="0"/>
          <w:numId w:val="19"/>
        </w:numPr>
        <w:spacing w:line="276" w:lineRule="auto"/>
        <w:ind w:left="1276"/>
        <w:contextualSpacing/>
        <w:jc w:val="both"/>
        <w:rPr>
          <w:rFonts w:eastAsia="Calibri"/>
        </w:rPr>
      </w:pPr>
      <w:r w:rsidRPr="005C3E39">
        <w:rPr>
          <w:rFonts w:eastAsia="Calibri"/>
        </w:rPr>
        <w:t>плановые даты окончания купонных периодов и периодов для частичного погашения основного долга в соответствии с условиями выпуска;</w:t>
      </w:r>
    </w:p>
    <w:p w14:paraId="57252DBE" w14:textId="77777777" w:rsidR="00E41AB9" w:rsidRPr="005C3E39" w:rsidRDefault="00E41AB9" w:rsidP="00E41AB9">
      <w:pPr>
        <w:numPr>
          <w:ilvl w:val="0"/>
          <w:numId w:val="19"/>
        </w:numPr>
        <w:spacing w:line="276" w:lineRule="auto"/>
        <w:ind w:left="1276"/>
        <w:contextualSpacing/>
        <w:jc w:val="both"/>
        <w:rPr>
          <w:rFonts w:eastAsia="Calibri"/>
        </w:rPr>
      </w:pPr>
      <w:r w:rsidRPr="005C3E39">
        <w:rPr>
          <w:rFonts w:eastAsia="Calibri"/>
        </w:rPr>
        <w:t>дата, до которой определен ожидаемый срок обращения в соответствии с условиями выпуска.</w:t>
      </w:r>
    </w:p>
    <w:p w14:paraId="4858B348" w14:textId="77777777" w:rsidR="00E41AB9" w:rsidRPr="005C3E39" w:rsidRDefault="00E41AB9" w:rsidP="00E41AB9">
      <w:pPr>
        <w:tabs>
          <w:tab w:val="left" w:pos="0"/>
        </w:tabs>
        <w:spacing w:line="276" w:lineRule="auto"/>
        <w:ind w:left="709"/>
        <w:jc w:val="both"/>
        <w:rPr>
          <w:rFonts w:eastAsia="Calibri"/>
        </w:rPr>
      </w:pPr>
      <w:r w:rsidRPr="005C3E39">
        <w:rPr>
          <w:rFonts w:eastAsia="Calibri"/>
        </w:rPr>
        <w:t xml:space="preserve">Денежные потоки, включая купонный доход, рассчитываются в соответствии с условиями выпуска. </w:t>
      </w:r>
    </w:p>
    <w:p w14:paraId="0DE2A228" w14:textId="77777777" w:rsidR="00E41AB9" w:rsidRPr="005C3E39" w:rsidRDefault="00E41AB9" w:rsidP="00E41AB9">
      <w:pPr>
        <w:tabs>
          <w:tab w:val="left" w:pos="0"/>
        </w:tabs>
        <w:spacing w:line="276" w:lineRule="auto"/>
        <w:ind w:left="709"/>
        <w:jc w:val="both"/>
        <w:rPr>
          <w:rFonts w:eastAsia="Calibri"/>
        </w:rPr>
      </w:pPr>
      <w:r w:rsidRPr="005C3E39">
        <w:rPr>
          <w:rFonts w:eastAsia="Calibri"/>
        </w:rPr>
        <w:t>Ставка дисконтирования будущих денежных потоков определяется для долговой ценной бумаги на каждую дату применения.</w:t>
      </w:r>
    </w:p>
    <w:p w14:paraId="4A739992" w14:textId="77777777" w:rsidR="00E41AB9" w:rsidRPr="005C3E39" w:rsidRDefault="00E41AB9" w:rsidP="00E41AB9">
      <w:pPr>
        <w:tabs>
          <w:tab w:val="left" w:pos="0"/>
        </w:tabs>
        <w:spacing w:line="276" w:lineRule="auto"/>
        <w:ind w:left="709"/>
        <w:jc w:val="both"/>
        <w:rPr>
          <w:rFonts w:eastAsia="Calibri"/>
        </w:rPr>
      </w:pPr>
      <w:r w:rsidRPr="005C3E39">
        <w:rPr>
          <w:rFonts w:eastAsia="Calibri"/>
        </w:rPr>
        <w:t>Ставка дисконтирования принимается равной номинальной безрисковой ставке доходности (ставке КБД в точке, соответствующей дате денежного потока), увеличенной на соответствующее значение кредитного спреда, который определяется следующим способом:</w:t>
      </w:r>
    </w:p>
    <w:p w14:paraId="4FD742FD" w14:textId="77777777" w:rsidR="00E41AB9" w:rsidRPr="005C3E39" w:rsidRDefault="00E41AB9" w:rsidP="00E41AB9">
      <w:pPr>
        <w:numPr>
          <w:ilvl w:val="0"/>
          <w:numId w:val="18"/>
        </w:numPr>
        <w:spacing w:line="276" w:lineRule="auto"/>
        <w:ind w:left="993" w:hanging="283"/>
        <w:contextualSpacing/>
        <w:jc w:val="both"/>
        <w:rPr>
          <w:rFonts w:eastAsia="Calibri"/>
        </w:rPr>
      </w:pPr>
      <w:r w:rsidRPr="005C3E39">
        <w:rPr>
          <w:rFonts w:eastAsia="Calibri"/>
        </w:rPr>
        <w:t xml:space="preserve">медианное значение из диапазона кредитных спредов, определенное для рейтинговой группы долговой ценной бумаги с учетом требований настоящих Правил (см. метод дисконтирования денежных потоков для облигаций в рублях). </w:t>
      </w:r>
    </w:p>
    <w:p w14:paraId="1031D2A8" w14:textId="77777777" w:rsidR="00E41AB9" w:rsidRPr="005C3E39" w:rsidRDefault="00E41AB9" w:rsidP="00E41AB9">
      <w:pPr>
        <w:spacing w:line="276" w:lineRule="auto"/>
        <w:contextualSpacing/>
        <w:jc w:val="both"/>
        <w:rPr>
          <w:rFonts w:eastAsia="Calibri"/>
        </w:rPr>
      </w:pPr>
      <w:r w:rsidRPr="005C3E39">
        <w:t>Доходность кривой бескупонной доходности (G-кривая) определяется в соответствии с «Методикой определения кривой бескупонной доходности государственных облигаций (облигации федеральных займов)», утверждаемой правлением ПАО «Московская биржа».</w:t>
      </w:r>
    </w:p>
    <w:p w14:paraId="626B3C57" w14:textId="77777777" w:rsidR="00E41AB9" w:rsidRPr="005C3E39" w:rsidRDefault="00E41AB9" w:rsidP="00E41AB9">
      <w:pPr>
        <w:spacing w:line="276" w:lineRule="auto"/>
        <w:contextualSpacing/>
        <w:jc w:val="both"/>
        <w:rPr>
          <w:rFonts w:eastAsia="Calibri"/>
        </w:rPr>
      </w:pPr>
      <w:r w:rsidRPr="005C3E39">
        <w:t>Значение ставки КБД определяется в базисных пунктах, далее полученное значение округляется по правилам математического округления до 2 –х знаков после запятой.</w:t>
      </w:r>
    </w:p>
    <w:p w14:paraId="46F6B01E" w14:textId="77777777" w:rsidR="00E41AB9" w:rsidRPr="005C3E39" w:rsidRDefault="00E41AB9" w:rsidP="00E41AB9">
      <w:pPr>
        <w:spacing w:after="120"/>
        <w:ind w:firstLine="426"/>
        <w:jc w:val="both"/>
        <w:rPr>
          <w:szCs w:val="24"/>
        </w:rPr>
      </w:pPr>
    </w:p>
    <w:p w14:paraId="3C32A215" w14:textId="50B3DE54" w:rsidR="006C7A27" w:rsidRPr="00DC493A" w:rsidRDefault="006C7A27" w:rsidP="00F60381">
      <w:pPr>
        <w:pStyle w:val="a7"/>
        <w:spacing w:after="0" w:line="240" w:lineRule="auto"/>
        <w:ind w:left="0"/>
        <w:mirrorIndents/>
        <w:jc w:val="both"/>
        <w:rPr>
          <w:rFonts w:ascii="Times New Roman" w:hAnsi="Times New Roman"/>
          <w:sz w:val="24"/>
          <w:szCs w:val="24"/>
          <w:lang w:eastAsia="nl-BE"/>
        </w:rPr>
      </w:pPr>
      <w:r>
        <w:rPr>
          <w:rFonts w:ascii="Times New Roman" w:hAnsi="Times New Roman"/>
          <w:sz w:val="24"/>
          <w:szCs w:val="24"/>
          <w:lang w:eastAsia="nl-BE"/>
        </w:rPr>
        <w:t xml:space="preserve">- </w:t>
      </w:r>
      <w:r w:rsidRPr="00DC493A">
        <w:rPr>
          <w:rFonts w:ascii="Times New Roman" w:hAnsi="Times New Roman"/>
          <w:sz w:val="24"/>
          <w:szCs w:val="24"/>
          <w:lang w:eastAsia="nl-BE"/>
        </w:rPr>
        <w:t>Справедливая стоимость устанавливается ценой (стоимость) определенной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каждые 5 рабочих дней.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09A3B400" w14:textId="77777777" w:rsidR="008C0A68" w:rsidRPr="005C3E39" w:rsidRDefault="008C0A68" w:rsidP="008C0A68">
      <w:pPr>
        <w:jc w:val="both"/>
        <w:rPr>
          <w:b/>
          <w:bCs/>
          <w:i/>
          <w:color w:val="000000"/>
          <w:szCs w:val="24"/>
        </w:rPr>
      </w:pPr>
      <w:r w:rsidRPr="005C3E39">
        <w:rPr>
          <w:b/>
          <w:bCs/>
          <w:i/>
          <w:color w:val="000000"/>
          <w:szCs w:val="24"/>
        </w:rPr>
        <w:lastRenderedPageBreak/>
        <w:t xml:space="preserve">Справедливая стоимость  облигаций международных или российских компаний с хранением не через НРД, облигаций иностранного эмитента с обязанным лицом в РФ с хранением не через НРД, ГОВОЗ с хранением не через НРД. </w:t>
      </w:r>
    </w:p>
    <w:p w14:paraId="683D092A" w14:textId="77777777" w:rsidR="008C0A68" w:rsidRPr="005C3E39" w:rsidRDefault="008C0A68" w:rsidP="008C0A68">
      <w:pPr>
        <w:pStyle w:val="TableParagraph"/>
        <w:tabs>
          <w:tab w:val="left" w:pos="74"/>
        </w:tabs>
        <w:spacing w:before="40" w:after="40"/>
        <w:ind w:left="40" w:right="40"/>
        <w:jc w:val="both"/>
        <w:rPr>
          <w:w w:val="110"/>
          <w:sz w:val="16"/>
          <w:szCs w:val="16"/>
        </w:rPr>
      </w:pPr>
    </w:p>
    <w:p w14:paraId="089584B1" w14:textId="77777777" w:rsidR="008C0A68" w:rsidRPr="005C3E39" w:rsidRDefault="008C0A68" w:rsidP="004872F3">
      <w:pPr>
        <w:pStyle w:val="a7"/>
        <w:numPr>
          <w:ilvl w:val="0"/>
          <w:numId w:val="33"/>
        </w:numPr>
        <w:spacing w:after="0"/>
        <w:mirrorIndents/>
        <w:jc w:val="both"/>
        <w:rPr>
          <w:sz w:val="24"/>
          <w:szCs w:val="24"/>
        </w:rPr>
      </w:pPr>
      <w:r w:rsidRPr="005C3E39">
        <w:rPr>
          <w:rFonts w:ascii="Times New Roman" w:hAnsi="Times New Roman"/>
          <w:sz w:val="24"/>
          <w:szCs w:val="24"/>
        </w:rPr>
        <w:t xml:space="preserve"> цена Bid, определенная по методике «Cbonds Estimation»</w:t>
      </w:r>
    </w:p>
    <w:p w14:paraId="6B1028D4" w14:textId="77777777" w:rsidR="008C0A68" w:rsidRPr="005C3E39" w:rsidRDefault="008C0A68" w:rsidP="008C0A68">
      <w:pPr>
        <w:mirrorIndents/>
        <w:jc w:val="both"/>
        <w:rPr>
          <w:szCs w:val="24"/>
        </w:rPr>
      </w:pPr>
      <w:r w:rsidRPr="005C3E39">
        <w:rPr>
          <w:szCs w:val="24"/>
        </w:rPr>
        <w:t>(Вышеуказанные цены применяются при наличии фактической возможности распоряжаться ценной бумагой с учетом организованной цепочки (схемы) хранения)</w:t>
      </w:r>
    </w:p>
    <w:p w14:paraId="4C7A0B60" w14:textId="611AF4BC" w:rsidR="00D21CBB" w:rsidRPr="00DC493A" w:rsidRDefault="00D21CBB" w:rsidP="00D21CBB">
      <w:pPr>
        <w:pStyle w:val="a7"/>
        <w:numPr>
          <w:ilvl w:val="0"/>
          <w:numId w:val="33"/>
        </w:numPr>
        <w:spacing w:after="0" w:line="240" w:lineRule="auto"/>
        <w:mirrorIndents/>
        <w:jc w:val="both"/>
        <w:rPr>
          <w:rFonts w:ascii="Times New Roman" w:hAnsi="Times New Roman"/>
          <w:sz w:val="24"/>
          <w:szCs w:val="24"/>
          <w:lang w:eastAsia="nl-BE"/>
        </w:rPr>
      </w:pPr>
      <w:r w:rsidRPr="00DC493A">
        <w:rPr>
          <w:rFonts w:ascii="Times New Roman" w:hAnsi="Times New Roman"/>
          <w:sz w:val="24"/>
          <w:szCs w:val="24"/>
          <w:lang w:eastAsia="nl-BE"/>
        </w:rPr>
        <w:t>Справедливая стоимость устанавливается ценой (стоимость) определенной с использованием наблюдаемых/подтверждаемых котировок, предоставленных проф</w:t>
      </w:r>
      <w:r w:rsidR="008D3527">
        <w:rPr>
          <w:rFonts w:ascii="Times New Roman" w:hAnsi="Times New Roman"/>
          <w:sz w:val="24"/>
          <w:szCs w:val="24"/>
          <w:lang w:eastAsia="nl-BE"/>
        </w:rPr>
        <w:t>ессиональным</w:t>
      </w:r>
      <w:r w:rsidRPr="00DC493A">
        <w:rPr>
          <w:rFonts w:ascii="Times New Roman" w:hAnsi="Times New Roman"/>
          <w:sz w:val="24"/>
          <w:szCs w:val="24"/>
          <w:lang w:eastAsia="nl-BE"/>
        </w:rPr>
        <w:t xml:space="preserve"> участниками рынка ценных бумаг, на основании мотивированного суждения Управляющей компании</w:t>
      </w:r>
      <w:r w:rsidR="0089570C" w:rsidRPr="005C3E39">
        <w:rPr>
          <w:rFonts w:ascii="Times New Roman" w:hAnsi="Times New Roman"/>
          <w:sz w:val="24"/>
          <w:szCs w:val="24"/>
        </w:rPr>
        <w:t>(в том числе о способности реализовать актив таким лицам)</w:t>
      </w:r>
      <w:r w:rsidRPr="00DC493A">
        <w:rPr>
          <w:rFonts w:ascii="Times New Roman" w:hAnsi="Times New Roman"/>
          <w:sz w:val="24"/>
          <w:szCs w:val="24"/>
          <w:lang w:eastAsia="nl-BE"/>
        </w:rPr>
        <w:t>,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каждые 5 рабочих дней. В том случае, если направленная информация либо соглашение, регулирующее отношения сторон, не содержит указания на срок, в течение которого проф</w:t>
      </w:r>
      <w:r w:rsidR="0089570C">
        <w:rPr>
          <w:rFonts w:ascii="Times New Roman" w:hAnsi="Times New Roman"/>
          <w:sz w:val="24"/>
          <w:szCs w:val="24"/>
          <w:lang w:eastAsia="nl-BE"/>
        </w:rPr>
        <w:t>ессиональный</w:t>
      </w:r>
      <w:r w:rsidRPr="00DC493A">
        <w:rPr>
          <w:rFonts w:ascii="Times New Roman" w:hAnsi="Times New Roman"/>
          <w:sz w:val="24"/>
          <w:szCs w:val="24"/>
          <w:lang w:eastAsia="nl-BE"/>
        </w:rPr>
        <w:t xml:space="preserve">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73A61C55" w14:textId="77777777" w:rsidR="008C0A68" w:rsidRPr="005C3E39" w:rsidRDefault="008C0A68" w:rsidP="004872F3">
      <w:pPr>
        <w:pStyle w:val="a7"/>
        <w:numPr>
          <w:ilvl w:val="0"/>
          <w:numId w:val="33"/>
        </w:numPr>
        <w:spacing w:after="0"/>
        <w:ind w:left="0"/>
        <w:mirrorIndents/>
        <w:jc w:val="both"/>
        <w:rPr>
          <w:rFonts w:ascii="Times New Roman" w:hAnsi="Times New Roman"/>
          <w:sz w:val="24"/>
          <w:szCs w:val="24"/>
        </w:rPr>
      </w:pPr>
      <w:r w:rsidRPr="005C3E39">
        <w:rPr>
          <w:rFonts w:ascii="Times New Roman" w:hAnsi="Times New Roman"/>
          <w:sz w:val="24"/>
          <w:szCs w:val="24"/>
        </w:rPr>
        <w:t>справедливая стоимость устанавливается равной 0 (ноль).</w:t>
      </w:r>
    </w:p>
    <w:p w14:paraId="4699EB1B" w14:textId="77777777" w:rsidR="008C0A68" w:rsidRPr="005C3E39" w:rsidRDefault="008C0A68" w:rsidP="008C0A68">
      <w:pPr>
        <w:pStyle w:val="a7"/>
        <w:spacing w:after="0"/>
        <w:ind w:left="0"/>
        <w:mirrorIndents/>
        <w:jc w:val="both"/>
        <w:rPr>
          <w:rFonts w:ascii="Times New Roman" w:hAnsi="Times New Roman"/>
          <w:sz w:val="24"/>
          <w:szCs w:val="24"/>
        </w:rPr>
      </w:pPr>
    </w:p>
    <w:p w14:paraId="19DD38F6" w14:textId="77777777" w:rsidR="008C0A68" w:rsidRPr="005C3E39" w:rsidRDefault="008C0A68" w:rsidP="008C0A68">
      <w:pPr>
        <w:pStyle w:val="a7"/>
        <w:spacing w:after="100" w:line="240" w:lineRule="auto"/>
        <w:ind w:left="0"/>
        <w:mirrorIndents/>
        <w:jc w:val="both"/>
        <w:rPr>
          <w:rFonts w:ascii="Times New Roman" w:eastAsia="Times New Roman" w:hAnsi="Times New Roman"/>
          <w:b/>
          <w:i/>
          <w:sz w:val="24"/>
          <w:szCs w:val="24"/>
          <w:lang w:eastAsia="ru-RU"/>
        </w:rPr>
      </w:pPr>
      <w:r w:rsidRPr="005C3E39">
        <w:rPr>
          <w:rFonts w:ascii="Times New Roman" w:eastAsia="Times New Roman" w:hAnsi="Times New Roman"/>
          <w:b/>
          <w:i/>
          <w:sz w:val="24"/>
          <w:szCs w:val="24"/>
          <w:lang w:eastAsia="ru-RU"/>
        </w:rPr>
        <w:t>Для иностранных акций, иностранных депозитарных расписок с хранением через НРД, проходящих процедуру редомициляции/реструктуризации. Применимо для ценных бумаг с фактической возможностью распоряжения.</w:t>
      </w:r>
    </w:p>
    <w:p w14:paraId="56DEFA26" w14:textId="77777777" w:rsidR="008C0A68" w:rsidRPr="005C3E39" w:rsidRDefault="008C0A68" w:rsidP="008C0A68">
      <w:pPr>
        <w:pStyle w:val="a7"/>
        <w:spacing w:after="0"/>
        <w:ind w:left="0"/>
        <w:mirrorIndents/>
        <w:jc w:val="both"/>
        <w:rPr>
          <w:rFonts w:ascii="Times New Roman" w:hAnsi="Times New Roman"/>
          <w:sz w:val="24"/>
          <w:szCs w:val="24"/>
        </w:rPr>
      </w:pPr>
      <w:r w:rsidRPr="005C3E39">
        <w:rPr>
          <w:rFonts w:ascii="Times New Roman" w:hAnsi="Times New Roman"/>
          <w:sz w:val="24"/>
          <w:szCs w:val="24"/>
        </w:rPr>
        <w:t xml:space="preserve">     Справедливая стоимость устанавливается ценой (стоимость) определенной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каждые 5 рабочих дней.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432F7A44" w14:textId="77777777" w:rsidR="008C0A68" w:rsidRPr="005C3E39" w:rsidRDefault="008C0A68" w:rsidP="008C0A68">
      <w:pPr>
        <w:mirrorIndents/>
        <w:jc w:val="both"/>
        <w:rPr>
          <w:szCs w:val="24"/>
        </w:rPr>
      </w:pPr>
    </w:p>
    <w:p w14:paraId="0F726337" w14:textId="77777777" w:rsidR="008C0A68" w:rsidRPr="005C3E39" w:rsidRDefault="008C0A68" w:rsidP="004872F3">
      <w:pPr>
        <w:pStyle w:val="a7"/>
        <w:numPr>
          <w:ilvl w:val="0"/>
          <w:numId w:val="33"/>
        </w:numPr>
        <w:spacing w:after="0"/>
        <w:ind w:left="0"/>
        <w:mirrorIndents/>
        <w:jc w:val="both"/>
        <w:rPr>
          <w:rFonts w:ascii="Times New Roman" w:hAnsi="Times New Roman"/>
          <w:sz w:val="24"/>
          <w:szCs w:val="24"/>
        </w:rPr>
      </w:pPr>
      <w:r w:rsidRPr="005C3E39">
        <w:rPr>
          <w:rFonts w:ascii="Times New Roman" w:hAnsi="Times New Roman"/>
          <w:sz w:val="24"/>
          <w:szCs w:val="24"/>
        </w:rPr>
        <w:t>справедливая стоимость устанавливается равной 0 (ноль).</w:t>
      </w:r>
    </w:p>
    <w:p w14:paraId="3254E6A9" w14:textId="77777777" w:rsidR="008C0A68" w:rsidRPr="005C3E39" w:rsidRDefault="008C0A68" w:rsidP="008C0A68">
      <w:pPr>
        <w:pStyle w:val="2"/>
        <w:rPr>
          <w:rFonts w:eastAsia="Calibri"/>
          <w:lang w:eastAsia="en-US"/>
        </w:rPr>
      </w:pPr>
      <w:r w:rsidRPr="005C3E39">
        <w:rPr>
          <w:rFonts w:eastAsia="Calibri"/>
          <w:i/>
          <w:lang w:eastAsia="en-US"/>
        </w:rPr>
        <w:t>Справедливая стоимость паев инвестиционных фондов, не допущенных к торгам организаторов торговли</w:t>
      </w:r>
      <w:r w:rsidRPr="005C3E39">
        <w:rPr>
          <w:rFonts w:eastAsia="Calibri"/>
          <w:lang w:eastAsia="en-US"/>
        </w:rPr>
        <w:t>.</w:t>
      </w:r>
    </w:p>
    <w:p w14:paraId="7E21A547"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                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14:paraId="6BCE845C" w14:textId="77777777" w:rsidR="008C0A68" w:rsidRPr="005C3E39" w:rsidRDefault="008C0A68" w:rsidP="008C0A68">
      <w:pPr>
        <w:pStyle w:val="2"/>
        <w:rPr>
          <w:lang w:eastAsia="en-US"/>
        </w:rPr>
      </w:pPr>
      <w:r w:rsidRPr="005C3E39">
        <w:rPr>
          <w:i/>
          <w:lang w:eastAsia="en-US"/>
        </w:rPr>
        <w:t>Определение справедливой стоимости ценных бумаг, по которым определен аналогичный актив</w:t>
      </w:r>
      <w:r w:rsidRPr="005C3E39">
        <w:rPr>
          <w:lang w:eastAsia="en-US"/>
        </w:rPr>
        <w:t>.</w:t>
      </w:r>
    </w:p>
    <w:p w14:paraId="6CB8A917"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 xml:space="preserve">Справедливая стоимость дополнительных выпусков ценных бумаг </w:t>
      </w:r>
    </w:p>
    <w:p w14:paraId="033BD850"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lastRenderedPageBreak/>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14:paraId="29E61968"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14:paraId="7B6961ED"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14:paraId="14DECC51"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14:paraId="425105C9" w14:textId="77777777" w:rsidR="008C0A68" w:rsidRPr="005C3E39" w:rsidRDefault="008C0A68" w:rsidP="008C0A68">
      <w:pPr>
        <w:tabs>
          <w:tab w:val="num" w:pos="360"/>
        </w:tabs>
        <w:spacing w:before="120"/>
        <w:contextualSpacing/>
        <w:jc w:val="both"/>
        <w:rPr>
          <w:rFonts w:eastAsia="Calibri"/>
          <w:szCs w:val="24"/>
          <w:lang w:eastAsia="en-US"/>
        </w:rPr>
      </w:pPr>
    </w:p>
    <w:p w14:paraId="3957B900"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Справедливая стоимость ценных бумаг нового выпуска, полученных в результате конвертации.</w:t>
      </w:r>
    </w:p>
    <w:p w14:paraId="75610BB0"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14:paraId="270A6536" w14:textId="77777777" w:rsidR="008C0A68" w:rsidRPr="005C3E39" w:rsidRDefault="008C0A68" w:rsidP="008C0A68">
      <w:pPr>
        <w:spacing w:before="120"/>
        <w:contextualSpacing/>
        <w:jc w:val="both"/>
        <w:rPr>
          <w:rFonts w:eastAsia="Calibri"/>
          <w:szCs w:val="24"/>
          <w:lang w:eastAsia="en-US"/>
        </w:rPr>
      </w:pPr>
      <w:r w:rsidRPr="005C3E39">
        <w:rPr>
          <w:rFonts w:eastAsia="Calibri"/>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14:paraId="54D98F46" w14:textId="77777777" w:rsidR="008C0A68" w:rsidRPr="005C3E39" w:rsidRDefault="008C0A68" w:rsidP="008C0A68">
      <w:pPr>
        <w:spacing w:before="120"/>
        <w:contextualSpacing/>
        <w:jc w:val="both"/>
        <w:rPr>
          <w:rFonts w:eastAsia="Calibri"/>
          <w:szCs w:val="24"/>
          <w:lang w:eastAsia="en-US"/>
        </w:rPr>
      </w:pPr>
      <w:r w:rsidRPr="005C3E39">
        <w:rPr>
          <w:rFonts w:eastAsia="Calibri"/>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14:paraId="395A5549"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14:paraId="598697BA"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14:paraId="1B779BFB" w14:textId="77777777" w:rsidR="008C0A68" w:rsidRPr="005C3E39" w:rsidRDefault="008C0A68" w:rsidP="008C0A68">
      <w:pPr>
        <w:spacing w:before="120"/>
        <w:contextualSpacing/>
        <w:jc w:val="both"/>
        <w:rPr>
          <w:rFonts w:eastAsia="Calibri"/>
          <w:szCs w:val="24"/>
          <w:lang w:eastAsia="en-US"/>
        </w:rPr>
      </w:pPr>
      <w:r w:rsidRPr="005C3E39">
        <w:rPr>
          <w:rFonts w:eastAsia="Calibri"/>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14:paraId="56A7A4C1"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14:paraId="78685F45"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lastRenderedPageBreak/>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14:paraId="571BCE21" w14:textId="77777777" w:rsidR="008C0A68" w:rsidRPr="005C3E39" w:rsidRDefault="008C0A68" w:rsidP="008C0A68">
      <w:pPr>
        <w:tabs>
          <w:tab w:val="num" w:pos="360"/>
        </w:tabs>
        <w:spacing w:before="120"/>
        <w:contextualSpacing/>
        <w:jc w:val="both"/>
        <w:rPr>
          <w:rFonts w:eastAsia="Calibri"/>
          <w:szCs w:val="24"/>
          <w:lang w:eastAsia="en-US"/>
        </w:rPr>
      </w:pPr>
      <w:r w:rsidRPr="005C3E39">
        <w:rPr>
          <w:rFonts w:eastAsia="Calibri"/>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14:paraId="62C238F5" w14:textId="77777777" w:rsidR="008C0A68" w:rsidRPr="005C3E39" w:rsidRDefault="008C0A68" w:rsidP="008C0A68">
      <w:pPr>
        <w:pStyle w:val="2"/>
        <w:rPr>
          <w:rFonts w:eastAsia="Batang"/>
        </w:rPr>
      </w:pPr>
      <w:r w:rsidRPr="005C3E39">
        <w:rPr>
          <w:rFonts w:eastAsia="Batang"/>
        </w:rPr>
        <w:t>Сделки с ценными бумагами, полученными на возвратной основе (РЕПО)</w:t>
      </w:r>
    </w:p>
    <w:p w14:paraId="500FED6A" w14:textId="77777777" w:rsidR="008C0A68" w:rsidRPr="005C3E39" w:rsidRDefault="008C0A68" w:rsidP="008C0A68">
      <w:pPr>
        <w:rPr>
          <w:rFonts w:eastAsia="Batang"/>
        </w:rPr>
      </w:pPr>
    </w:p>
    <w:p w14:paraId="0E13D041" w14:textId="77777777" w:rsidR="008C0A68" w:rsidRPr="005C3E39" w:rsidRDefault="008C0A68" w:rsidP="008C0A68">
      <w:pPr>
        <w:rPr>
          <w:rFonts w:eastAsia="Batang"/>
          <w:i/>
          <w:u w:val="single"/>
        </w:rPr>
      </w:pPr>
      <w:r w:rsidRPr="005C3E39">
        <w:rPr>
          <w:rFonts w:eastAsia="Batang"/>
          <w:i/>
          <w:u w:val="single"/>
        </w:rPr>
        <w:t>Критерии признания</w:t>
      </w:r>
    </w:p>
    <w:p w14:paraId="292911CD" w14:textId="77777777" w:rsidR="008C0A68" w:rsidRPr="005C3E39" w:rsidRDefault="008C0A68" w:rsidP="008C0A68">
      <w:pPr>
        <w:jc w:val="both"/>
        <w:rPr>
          <w:rFonts w:eastAsia="Batang"/>
        </w:rPr>
      </w:pPr>
      <w:r w:rsidRPr="005C3E39">
        <w:rPr>
          <w:rFonts w:eastAsia="Batang"/>
        </w:rPr>
        <w:t xml:space="preserve">Договор прямого РЕПО: </w:t>
      </w:r>
    </w:p>
    <w:p w14:paraId="279CA431" w14:textId="77777777" w:rsidR="008C0A68" w:rsidRPr="005C3E39" w:rsidRDefault="008C0A68" w:rsidP="004872F3">
      <w:pPr>
        <w:pStyle w:val="a7"/>
        <w:numPr>
          <w:ilvl w:val="0"/>
          <w:numId w:val="21"/>
        </w:numPr>
        <w:jc w:val="both"/>
        <w:rPr>
          <w:rFonts w:eastAsia="Batang"/>
          <w:szCs w:val="24"/>
        </w:rPr>
      </w:pPr>
      <w:r w:rsidRPr="005C3E39">
        <w:rPr>
          <w:rFonts w:ascii="Times New Roman" w:eastAsia="Batang" w:hAnsi="Times New Roman"/>
          <w:sz w:val="24"/>
          <w:szCs w:val="24"/>
        </w:rPr>
        <w:t>на дату исполнения первой части договора РЕПО,  признается кредиторская задолженность в сумме полученных денежных средств по первой части договора РЕПО, увеличенная на сумму процентов, рассчитанных на дату определения СЧА по ставке, предусмотренной договором/биржевой сделкой.</w:t>
      </w:r>
    </w:p>
    <w:p w14:paraId="3F53A08D" w14:textId="77777777" w:rsidR="008C0A68" w:rsidRPr="005C3E39" w:rsidRDefault="008C0A68" w:rsidP="004872F3">
      <w:pPr>
        <w:pStyle w:val="a7"/>
        <w:numPr>
          <w:ilvl w:val="0"/>
          <w:numId w:val="21"/>
        </w:numPr>
        <w:jc w:val="both"/>
        <w:rPr>
          <w:rFonts w:eastAsia="Batang"/>
        </w:rPr>
      </w:pPr>
      <w:r w:rsidRPr="005C3E39">
        <w:rPr>
          <w:rFonts w:ascii="Times New Roman" w:eastAsia="Batang" w:hAnsi="Times New Roman"/>
          <w:sz w:val="24"/>
          <w:szCs w:val="24"/>
        </w:rPr>
        <w:t>прекращение признания ценных бумаг переданных по прямому договору РЕПО не происходит</w:t>
      </w:r>
    </w:p>
    <w:p w14:paraId="06431645" w14:textId="77777777" w:rsidR="008C0A68" w:rsidRPr="005C3E39" w:rsidRDefault="008C0A68" w:rsidP="008C0A68">
      <w:pPr>
        <w:jc w:val="both"/>
        <w:rPr>
          <w:bCs/>
          <w:color w:val="000000"/>
          <w:szCs w:val="24"/>
        </w:rPr>
      </w:pPr>
      <w:r w:rsidRPr="005C3E39">
        <w:rPr>
          <w:bCs/>
          <w:color w:val="000000"/>
          <w:szCs w:val="24"/>
        </w:rPr>
        <w:t>Договор обратного РЕПО:</w:t>
      </w:r>
    </w:p>
    <w:p w14:paraId="56BA0EC3" w14:textId="77777777" w:rsidR="008C0A68" w:rsidRPr="005C3E39" w:rsidRDefault="008C0A68" w:rsidP="004872F3">
      <w:pPr>
        <w:pStyle w:val="a7"/>
        <w:numPr>
          <w:ilvl w:val="0"/>
          <w:numId w:val="21"/>
        </w:numPr>
        <w:jc w:val="both"/>
        <w:rPr>
          <w:rFonts w:ascii="Times New Roman" w:eastAsia="Batang" w:hAnsi="Times New Roman"/>
          <w:sz w:val="24"/>
          <w:szCs w:val="24"/>
        </w:rPr>
      </w:pPr>
      <w:r w:rsidRPr="005C3E39">
        <w:rPr>
          <w:rFonts w:ascii="Times New Roman" w:eastAsia="Batang" w:hAnsi="Times New Roman"/>
          <w:sz w:val="24"/>
          <w:szCs w:val="24"/>
        </w:rPr>
        <w:t xml:space="preserve">на дату исполнения первой части договора РЕПО признается дебиторской задолженности в размере суммы денежных средств, переданные Фондом </w:t>
      </w:r>
      <w:r w:rsidRPr="005C3E39">
        <w:rPr>
          <w:rFonts w:ascii="Times New Roman" w:eastAsia="Batang" w:hAnsi="Times New Roman"/>
          <w:sz w:val="24"/>
          <w:szCs w:val="24"/>
          <w:lang w:eastAsia="ru-RU"/>
        </w:rPr>
        <w:t xml:space="preserve">по первой части договора РЕПО, увеличенной на сумму процентов, рассчитанных </w:t>
      </w:r>
      <w:r w:rsidRPr="005C3E39">
        <w:rPr>
          <w:rFonts w:ascii="Times New Roman" w:eastAsia="Batang" w:hAnsi="Times New Roman"/>
          <w:sz w:val="24"/>
          <w:szCs w:val="24"/>
        </w:rPr>
        <w:t xml:space="preserve">на дату определения СЧА </w:t>
      </w:r>
      <w:r w:rsidRPr="005C3E39">
        <w:rPr>
          <w:rFonts w:ascii="Times New Roman" w:eastAsia="Batang" w:hAnsi="Times New Roman"/>
          <w:sz w:val="24"/>
          <w:szCs w:val="24"/>
          <w:lang w:eastAsia="ru-RU"/>
        </w:rPr>
        <w:t>по ставке, предусмотренной договором/биржевой сделкой</w:t>
      </w:r>
      <w:r w:rsidRPr="005C3E39">
        <w:rPr>
          <w:rFonts w:ascii="Times New Roman" w:eastAsia="Batang" w:hAnsi="Times New Roman"/>
          <w:sz w:val="24"/>
          <w:szCs w:val="24"/>
        </w:rPr>
        <w:t xml:space="preserve">; </w:t>
      </w:r>
    </w:p>
    <w:p w14:paraId="3AD5236F" w14:textId="77777777" w:rsidR="008C0A68" w:rsidRPr="005C3E39" w:rsidRDefault="008C0A68" w:rsidP="004872F3">
      <w:pPr>
        <w:pStyle w:val="a7"/>
        <w:numPr>
          <w:ilvl w:val="0"/>
          <w:numId w:val="21"/>
        </w:numPr>
        <w:jc w:val="both"/>
        <w:rPr>
          <w:rFonts w:ascii="Times New Roman" w:eastAsia="Batang" w:hAnsi="Times New Roman"/>
        </w:rPr>
      </w:pPr>
      <w:r w:rsidRPr="005C3E39">
        <w:rPr>
          <w:rFonts w:ascii="Times New Roman" w:eastAsia="Batang" w:hAnsi="Times New Roman"/>
          <w:sz w:val="24"/>
          <w:szCs w:val="24"/>
        </w:rPr>
        <w:t>признание ценных бумаг, полученных по первой части договора РЕПО, не происходит</w:t>
      </w:r>
      <w:r w:rsidRPr="005C3E39">
        <w:rPr>
          <w:rFonts w:ascii="Times New Roman" w:eastAsia="Batang" w:hAnsi="Times New Roman"/>
        </w:rPr>
        <w:t>.</w:t>
      </w:r>
    </w:p>
    <w:p w14:paraId="1DBD35F0" w14:textId="77777777" w:rsidR="008C0A68" w:rsidRPr="005C3E39" w:rsidRDefault="008C0A68" w:rsidP="008C0A68">
      <w:pPr>
        <w:jc w:val="both"/>
        <w:rPr>
          <w:rFonts w:eastAsia="Batang"/>
        </w:rPr>
      </w:pPr>
    </w:p>
    <w:p w14:paraId="7ECAFF24" w14:textId="77777777" w:rsidR="008C0A68" w:rsidRPr="005C3E39" w:rsidRDefault="008C0A68" w:rsidP="008C0A68">
      <w:pPr>
        <w:rPr>
          <w:rFonts w:eastAsia="Batang"/>
          <w:i/>
          <w:u w:val="single"/>
        </w:rPr>
      </w:pPr>
      <w:r w:rsidRPr="005C3E39">
        <w:rPr>
          <w:rFonts w:eastAsia="Batang"/>
          <w:i/>
          <w:u w:val="single"/>
        </w:rPr>
        <w:t>Критерии прекращения признания</w:t>
      </w:r>
    </w:p>
    <w:p w14:paraId="4CAB08CE" w14:textId="77777777" w:rsidR="008C0A68" w:rsidRPr="005C3E39" w:rsidRDefault="008C0A68" w:rsidP="008C0A68">
      <w:pPr>
        <w:jc w:val="both"/>
        <w:rPr>
          <w:rFonts w:eastAsia="Batang"/>
        </w:rPr>
      </w:pPr>
      <w:r w:rsidRPr="005C3E39">
        <w:rPr>
          <w:rFonts w:eastAsia="Batang"/>
        </w:rPr>
        <w:t xml:space="preserve">Договор прямого РЕПО: </w:t>
      </w:r>
    </w:p>
    <w:p w14:paraId="587DA312" w14:textId="77777777" w:rsidR="008C0A68" w:rsidRPr="005C3E39" w:rsidRDefault="008C0A68" w:rsidP="008C0A68">
      <w:pPr>
        <w:jc w:val="both"/>
        <w:rPr>
          <w:rFonts w:eastAsia="Batang"/>
        </w:rPr>
      </w:pPr>
      <w:r w:rsidRPr="005C3E39">
        <w:rPr>
          <w:rFonts w:eastAsia="Batang"/>
        </w:rPr>
        <w:t>•</w:t>
      </w:r>
      <w:r w:rsidRPr="005C3E39">
        <w:rPr>
          <w:rFonts w:eastAsia="Batang"/>
        </w:rPr>
        <w:tab/>
      </w:r>
      <w:r w:rsidRPr="005C3E39">
        <w:rPr>
          <w:rFonts w:eastAsia="Batang"/>
          <w:szCs w:val="24"/>
          <w:lang w:eastAsia="en-US"/>
        </w:rPr>
        <w:t>на дату исполнения второй части договора РЕПО происходит прекращение признания кредиторской задолженности в сумме полученных денежных средств по первой части. В случае если исполнение обязательств не будет встречным, под датой исполнения второй части, принимается более поздняя из двух дат: поставки или  оплаты.</w:t>
      </w:r>
      <w:r w:rsidRPr="005C3E39">
        <w:rPr>
          <w:rFonts w:eastAsia="Batang"/>
        </w:rPr>
        <w:t xml:space="preserve"> </w:t>
      </w:r>
    </w:p>
    <w:p w14:paraId="66E5DA61" w14:textId="77777777" w:rsidR="008C0A68" w:rsidRPr="005C3E39" w:rsidRDefault="008C0A68" w:rsidP="008C0A68">
      <w:pPr>
        <w:jc w:val="both"/>
        <w:rPr>
          <w:bCs/>
          <w:color w:val="000000"/>
          <w:szCs w:val="24"/>
        </w:rPr>
      </w:pPr>
    </w:p>
    <w:p w14:paraId="1AF7AA36" w14:textId="77777777" w:rsidR="008C0A68" w:rsidRPr="005C3E39" w:rsidRDefault="008C0A68" w:rsidP="008C0A68">
      <w:pPr>
        <w:jc w:val="both"/>
        <w:rPr>
          <w:bCs/>
          <w:color w:val="000000"/>
          <w:szCs w:val="24"/>
        </w:rPr>
      </w:pPr>
      <w:r w:rsidRPr="005C3E39">
        <w:rPr>
          <w:bCs/>
          <w:color w:val="000000"/>
          <w:szCs w:val="24"/>
        </w:rPr>
        <w:t>Договор обратного РЕПО:</w:t>
      </w:r>
    </w:p>
    <w:p w14:paraId="2A498D78" w14:textId="77777777" w:rsidR="008C0A68" w:rsidRPr="005C3E39" w:rsidRDefault="008C0A68" w:rsidP="004872F3">
      <w:pPr>
        <w:numPr>
          <w:ilvl w:val="0"/>
          <w:numId w:val="24"/>
        </w:numPr>
        <w:contextualSpacing/>
        <w:jc w:val="both"/>
        <w:rPr>
          <w:bCs/>
          <w:color w:val="000000"/>
          <w:szCs w:val="24"/>
        </w:rPr>
      </w:pPr>
      <w:r w:rsidRPr="005C3E39">
        <w:rPr>
          <w:bCs/>
          <w:color w:val="000000"/>
          <w:szCs w:val="24"/>
        </w:rPr>
        <w:t>на дату исполнения второй части договора РЕПО происходит прекращение признания дебиторской задолженности контрагента по договору РЕПО;</w:t>
      </w:r>
    </w:p>
    <w:p w14:paraId="62C502BE" w14:textId="77777777" w:rsidR="008C0A68" w:rsidRPr="005C3E39" w:rsidRDefault="008C0A68" w:rsidP="004872F3">
      <w:pPr>
        <w:numPr>
          <w:ilvl w:val="0"/>
          <w:numId w:val="24"/>
        </w:numPr>
        <w:contextualSpacing/>
        <w:jc w:val="both"/>
        <w:rPr>
          <w:bCs/>
          <w:color w:val="000000"/>
          <w:szCs w:val="24"/>
        </w:rPr>
      </w:pPr>
      <w:r w:rsidRPr="005C3E39">
        <w:rPr>
          <w:bCs/>
          <w:color w:val="000000"/>
          <w:szCs w:val="24"/>
        </w:rPr>
        <w:t xml:space="preserve">на дату списания со счета ДЕПО ценных бумаг, полученных по договору обратного РЕПО (только в случае, если на момент списания со счета ДЕПО ценных бумаг по сделкам количество признанных в ПИФ ценных бумаг равно нулю), до момента исполнения по второй части, признается обязательство ПИФ по приобретению таких ценных бумаг для исполнения второй части сделки обратного РЕПО. </w:t>
      </w:r>
    </w:p>
    <w:p w14:paraId="3B071E2C" w14:textId="77777777" w:rsidR="008C0A68" w:rsidRPr="005C3E39" w:rsidRDefault="008C0A68" w:rsidP="008C0A68">
      <w:pPr>
        <w:jc w:val="both"/>
        <w:rPr>
          <w:rFonts w:eastAsia="Batang"/>
          <w:szCs w:val="24"/>
        </w:rPr>
      </w:pPr>
    </w:p>
    <w:p w14:paraId="1B1D4E16" w14:textId="77777777" w:rsidR="008C0A68" w:rsidRPr="005C3E39" w:rsidRDefault="008C0A68" w:rsidP="008C0A68">
      <w:pPr>
        <w:rPr>
          <w:rFonts w:eastAsia="Batang"/>
          <w:b/>
          <w:i/>
          <w:u w:val="single"/>
        </w:rPr>
      </w:pPr>
      <w:r w:rsidRPr="005C3E39">
        <w:rPr>
          <w:rFonts w:eastAsia="Batang"/>
          <w:b/>
          <w:i/>
          <w:u w:val="single"/>
        </w:rPr>
        <w:t>Справедливая оценка сделок РЕПО</w:t>
      </w:r>
    </w:p>
    <w:p w14:paraId="4E495C23" w14:textId="77777777" w:rsidR="008C0A68" w:rsidRPr="005C3E39" w:rsidRDefault="008C0A68" w:rsidP="008C0A68">
      <w:pPr>
        <w:rPr>
          <w:rFonts w:eastAsia="Batang"/>
        </w:rPr>
      </w:pPr>
    </w:p>
    <w:p w14:paraId="6F6082C1" w14:textId="77777777" w:rsidR="008C0A68" w:rsidRPr="005C3E39" w:rsidRDefault="008C0A68" w:rsidP="008C0A68">
      <w:pPr>
        <w:pStyle w:val="12"/>
        <w:tabs>
          <w:tab w:val="left" w:pos="993"/>
        </w:tabs>
        <w:ind w:left="0"/>
        <w:jc w:val="both"/>
        <w:rPr>
          <w:rFonts w:eastAsia="Batang"/>
          <w:color w:val="000000"/>
          <w:szCs w:val="24"/>
        </w:rPr>
      </w:pPr>
      <w:r w:rsidRPr="005C3E39">
        <w:rPr>
          <w:rFonts w:eastAsia="Batang"/>
          <w:color w:val="000000"/>
          <w:szCs w:val="24"/>
        </w:rPr>
        <w:t>В случае, если договором не установлена ставка РЕПО, ставка рассчитывается в соответствии с условиями сделки в следующем порядке:</w:t>
      </w:r>
    </w:p>
    <w:p w14:paraId="6485105C" w14:textId="77777777" w:rsidR="008C0A68" w:rsidRPr="005C3E39" w:rsidRDefault="008C0A68" w:rsidP="008C0A68">
      <w:pPr>
        <w:pStyle w:val="a7"/>
        <w:spacing w:before="120" w:after="120" w:line="240" w:lineRule="auto"/>
        <w:contextualSpacing w:val="0"/>
        <w:jc w:val="both"/>
        <w:rPr>
          <w:rFonts w:ascii="Times New Roman" w:hAnsi="Times New Roman"/>
          <w:szCs w:val="20"/>
        </w:rPr>
      </w:pPr>
    </w:p>
    <w:p w14:paraId="5FD18923" w14:textId="77777777" w:rsidR="008C0A68" w:rsidRPr="005C3E39" w:rsidRDefault="008C0A68" w:rsidP="008C0A68">
      <w:pPr>
        <w:pStyle w:val="12"/>
        <w:tabs>
          <w:tab w:val="left" w:pos="993"/>
        </w:tabs>
        <w:spacing w:before="120" w:after="120"/>
        <w:ind w:left="360"/>
        <w:jc w:val="both"/>
        <w:rPr>
          <w:lang w:val="en-US"/>
        </w:rPr>
      </w:pPr>
      <m:oMathPara>
        <m:oMath>
          <m:r>
            <m:rPr>
              <m:sty m:val="p"/>
            </m:rPr>
            <w:rPr>
              <w:rFonts w:ascii="Cambria Math" w:eastAsia="Batang" w:hAnsi="Cambria Math"/>
              <w:color w:val="000000"/>
              <w:szCs w:val="24"/>
              <w:lang w:val="en-US"/>
            </w:rPr>
            <m:t>R</m:t>
          </m:r>
          <m:r>
            <m:rPr>
              <m:sty m:val="p"/>
            </m:rPr>
            <w:rPr>
              <w:rFonts w:ascii="Cambria Math" w:eastAsia="Batang" w:hAnsi="Cambria Math"/>
              <w:color w:val="000000"/>
              <w:szCs w:val="24"/>
            </w:rPr>
            <m:t>=</m:t>
          </m:r>
          <m:d>
            <m:dPr>
              <m:ctrlPr>
                <w:rPr>
                  <w:rFonts w:ascii="Cambria Math" w:eastAsia="Batang" w:hAnsi="Cambria Math"/>
                  <w:color w:val="000000"/>
                  <w:szCs w:val="24"/>
                </w:rPr>
              </m:ctrlPr>
            </m:dPr>
            <m:e>
              <m:f>
                <m:fPr>
                  <m:ctrlPr>
                    <w:rPr>
                      <w:rFonts w:ascii="Cambria Math" w:eastAsia="Batang" w:hAnsi="Cambria Math"/>
                      <w:i/>
                      <w:color w:val="000000"/>
                      <w:szCs w:val="24"/>
                    </w:rPr>
                  </m:ctrlPr>
                </m:fPr>
                <m:num>
                  <m:sSub>
                    <m:sSubPr>
                      <m:ctrlPr>
                        <w:rPr>
                          <w:rFonts w:ascii="Cambria Math" w:eastAsia="Batang" w:hAnsi="Cambria Math"/>
                          <w:i/>
                          <w:color w:val="000000"/>
                          <w:szCs w:val="24"/>
                        </w:rPr>
                      </m:ctrlPr>
                    </m:sSubPr>
                    <m:e>
                      <m:r>
                        <w:rPr>
                          <w:rFonts w:ascii="Cambria Math" w:eastAsia="Batang" w:hAnsi="Cambria Math"/>
                          <w:color w:val="000000"/>
                          <w:szCs w:val="24"/>
                        </w:rPr>
                        <m:t>S</m:t>
                      </m:r>
                    </m:e>
                    <m:sub>
                      <m:r>
                        <w:rPr>
                          <w:rFonts w:ascii="Cambria Math" w:eastAsia="Batang" w:hAnsi="Cambria Math"/>
                          <w:color w:val="000000"/>
                          <w:szCs w:val="24"/>
                        </w:rPr>
                        <m:t>2</m:t>
                      </m:r>
                    </m:sub>
                  </m:sSub>
                  <m:r>
                    <w:rPr>
                      <w:rFonts w:ascii="Cambria Math" w:eastAsia="Batang" w:hAnsi="Cambria Math"/>
                      <w:color w:val="000000"/>
                      <w:szCs w:val="24"/>
                    </w:rPr>
                    <m:t>-</m:t>
                  </m:r>
                  <m:sSub>
                    <m:sSubPr>
                      <m:ctrlPr>
                        <w:rPr>
                          <w:rFonts w:ascii="Cambria Math" w:eastAsia="Batang" w:hAnsi="Cambria Math"/>
                          <w:i/>
                          <w:color w:val="000000"/>
                          <w:szCs w:val="24"/>
                        </w:rPr>
                      </m:ctrlPr>
                    </m:sSubPr>
                    <m:e>
                      <m:r>
                        <w:rPr>
                          <w:rFonts w:ascii="Cambria Math" w:eastAsia="Batang" w:hAnsi="Cambria Math"/>
                          <w:color w:val="000000"/>
                          <w:szCs w:val="24"/>
                        </w:rPr>
                        <m:t>S</m:t>
                      </m:r>
                    </m:e>
                    <m:sub>
                      <m:r>
                        <w:rPr>
                          <w:rFonts w:ascii="Cambria Math" w:eastAsia="Batang" w:hAnsi="Cambria Math"/>
                          <w:color w:val="000000"/>
                          <w:szCs w:val="24"/>
                        </w:rPr>
                        <m:t>1</m:t>
                      </m:r>
                    </m:sub>
                  </m:sSub>
                </m:num>
                <m:den>
                  <m:sSub>
                    <m:sSubPr>
                      <m:ctrlPr>
                        <w:rPr>
                          <w:rFonts w:ascii="Cambria Math" w:eastAsia="Batang" w:hAnsi="Cambria Math"/>
                          <w:i/>
                          <w:color w:val="000000"/>
                          <w:szCs w:val="24"/>
                        </w:rPr>
                      </m:ctrlPr>
                    </m:sSubPr>
                    <m:e>
                      <m:r>
                        <w:rPr>
                          <w:rFonts w:ascii="Cambria Math" w:eastAsia="Batang" w:hAnsi="Cambria Math"/>
                          <w:color w:val="000000"/>
                          <w:szCs w:val="24"/>
                        </w:rPr>
                        <m:t>S</m:t>
                      </m:r>
                    </m:e>
                    <m:sub>
                      <m:r>
                        <w:rPr>
                          <w:rFonts w:ascii="Cambria Math" w:eastAsia="Batang" w:hAnsi="Cambria Math"/>
                          <w:color w:val="000000"/>
                          <w:szCs w:val="24"/>
                        </w:rPr>
                        <m:t>1</m:t>
                      </m:r>
                    </m:sub>
                  </m:sSub>
                </m:den>
              </m:f>
            </m:e>
          </m:d>
          <m:r>
            <m:rPr>
              <m:sty m:val="p"/>
            </m:rPr>
            <w:rPr>
              <w:rFonts w:ascii="Cambria Math" w:eastAsia="Batang" w:hAnsi="Cambria Math"/>
              <w:color w:val="000000"/>
              <w:szCs w:val="24"/>
            </w:rPr>
            <m:t>*</m:t>
          </m:r>
          <m:f>
            <m:fPr>
              <m:ctrlPr>
                <w:rPr>
                  <w:rFonts w:ascii="Cambria Math" w:eastAsia="Batang" w:hAnsi="Cambria Math"/>
                  <w:color w:val="000000"/>
                  <w:szCs w:val="24"/>
                </w:rPr>
              </m:ctrlPr>
            </m:fPr>
            <m:num>
              <m:r>
                <w:rPr>
                  <w:rFonts w:ascii="Cambria Math" w:eastAsia="Batang" w:hAnsi="Cambria Math"/>
                  <w:color w:val="000000"/>
                  <w:szCs w:val="24"/>
                </w:rPr>
                <m:t>100</m:t>
              </m:r>
            </m:num>
            <m:den>
              <m:d>
                <m:dPr>
                  <m:ctrlPr>
                    <w:rPr>
                      <w:rFonts w:ascii="Cambria Math" w:eastAsia="Batang" w:hAnsi="Cambria Math"/>
                      <w:i/>
                      <w:color w:val="000000"/>
                      <w:szCs w:val="24"/>
                    </w:rPr>
                  </m:ctrlPr>
                </m:dPr>
                <m:e>
                  <m:f>
                    <m:fPr>
                      <m:type m:val="skw"/>
                      <m:ctrlPr>
                        <w:rPr>
                          <w:rFonts w:ascii="Cambria Math" w:eastAsia="Batang" w:hAnsi="Cambria Math"/>
                          <w:i/>
                          <w:color w:val="000000"/>
                          <w:szCs w:val="24"/>
                        </w:rPr>
                      </m:ctrlPr>
                    </m:fPr>
                    <m:num>
                      <m:sSub>
                        <m:sSubPr>
                          <m:ctrlPr>
                            <w:rPr>
                              <w:rFonts w:ascii="Cambria Math" w:eastAsia="Batang" w:hAnsi="Cambria Math"/>
                              <w:i/>
                              <w:color w:val="000000"/>
                              <w:szCs w:val="24"/>
                            </w:rPr>
                          </m:ctrlPr>
                        </m:sSubPr>
                        <m:e>
                          <m:r>
                            <w:rPr>
                              <w:rFonts w:ascii="Cambria Math" w:eastAsia="Batang" w:hAnsi="Cambria Math"/>
                              <w:color w:val="000000"/>
                              <w:szCs w:val="24"/>
                            </w:rPr>
                            <m:t>T</m:t>
                          </m:r>
                        </m:e>
                        <m:sub>
                          <m:r>
                            <w:rPr>
                              <w:rFonts w:ascii="Cambria Math" w:eastAsia="Batang" w:hAnsi="Cambria Math"/>
                              <w:color w:val="000000"/>
                              <w:szCs w:val="24"/>
                            </w:rPr>
                            <m:t>365</m:t>
                          </m:r>
                        </m:sub>
                      </m:sSub>
                    </m:num>
                    <m:den>
                      <m:r>
                        <w:rPr>
                          <w:rFonts w:ascii="Cambria Math" w:eastAsia="Batang" w:hAnsi="Cambria Math"/>
                          <w:color w:val="000000"/>
                          <w:szCs w:val="24"/>
                        </w:rPr>
                        <m:t>365</m:t>
                      </m:r>
                    </m:den>
                  </m:f>
                  <m:r>
                    <w:rPr>
                      <w:rFonts w:ascii="Cambria Math" w:eastAsia="Batang" w:hAnsi="Cambria Math"/>
                      <w:color w:val="000000"/>
                      <w:szCs w:val="24"/>
                    </w:rPr>
                    <m:t>+</m:t>
                  </m:r>
                  <m:f>
                    <m:fPr>
                      <m:type m:val="skw"/>
                      <m:ctrlPr>
                        <w:rPr>
                          <w:rFonts w:ascii="Cambria Math" w:eastAsia="Batang" w:hAnsi="Cambria Math"/>
                          <w:i/>
                          <w:color w:val="000000"/>
                          <w:szCs w:val="24"/>
                        </w:rPr>
                      </m:ctrlPr>
                    </m:fPr>
                    <m:num>
                      <m:sSub>
                        <m:sSubPr>
                          <m:ctrlPr>
                            <w:rPr>
                              <w:rFonts w:ascii="Cambria Math" w:eastAsia="Batang" w:hAnsi="Cambria Math"/>
                              <w:i/>
                              <w:color w:val="000000"/>
                              <w:szCs w:val="24"/>
                            </w:rPr>
                          </m:ctrlPr>
                        </m:sSubPr>
                        <m:e>
                          <m:r>
                            <w:rPr>
                              <w:rFonts w:ascii="Cambria Math" w:eastAsia="Batang" w:hAnsi="Cambria Math"/>
                              <w:color w:val="000000"/>
                              <w:szCs w:val="24"/>
                            </w:rPr>
                            <m:t>T</m:t>
                          </m:r>
                        </m:e>
                        <m:sub>
                          <m:r>
                            <w:rPr>
                              <w:rFonts w:ascii="Cambria Math" w:eastAsia="Batang" w:hAnsi="Cambria Math"/>
                              <w:color w:val="000000"/>
                              <w:szCs w:val="24"/>
                            </w:rPr>
                            <m:t>366</m:t>
                          </m:r>
                        </m:sub>
                      </m:sSub>
                    </m:num>
                    <m:den>
                      <m:r>
                        <w:rPr>
                          <w:rFonts w:ascii="Cambria Math" w:eastAsia="Batang" w:hAnsi="Cambria Math"/>
                          <w:color w:val="000000"/>
                          <w:szCs w:val="24"/>
                        </w:rPr>
                        <m:t>366</m:t>
                      </m:r>
                    </m:den>
                  </m:f>
                </m:e>
              </m:d>
            </m:den>
          </m:f>
        </m:oMath>
      </m:oMathPara>
    </w:p>
    <w:p w14:paraId="0486FD41" w14:textId="77777777" w:rsidR="008C0A68" w:rsidRPr="005C3E39" w:rsidRDefault="008C0A68" w:rsidP="008C0A68">
      <w:pPr>
        <w:pStyle w:val="a7"/>
        <w:spacing w:before="120" w:after="120" w:line="240" w:lineRule="auto"/>
        <w:ind w:left="1416"/>
        <w:contextualSpacing w:val="0"/>
        <w:jc w:val="both"/>
        <w:rPr>
          <w:rFonts w:ascii="Times New Roman" w:hAnsi="Times New Roman"/>
          <w:szCs w:val="20"/>
        </w:rPr>
      </w:pPr>
      <w:r w:rsidRPr="005C3E39">
        <w:rPr>
          <w:rFonts w:ascii="Times New Roman" w:hAnsi="Times New Roman"/>
          <w:szCs w:val="20"/>
        </w:rPr>
        <w:lastRenderedPageBreak/>
        <w:t>Где</w:t>
      </w:r>
    </w:p>
    <w:p w14:paraId="49AE4B8D" w14:textId="77777777" w:rsidR="008C0A68" w:rsidRPr="005C3E39" w:rsidRDefault="008C0A68" w:rsidP="008C0A68">
      <w:pPr>
        <w:pStyle w:val="a7"/>
        <w:spacing w:before="120" w:after="120" w:line="240" w:lineRule="auto"/>
        <w:ind w:left="1416"/>
        <w:contextualSpacing w:val="0"/>
        <w:jc w:val="both"/>
        <w:rPr>
          <w:rFonts w:ascii="Times New Roman" w:hAnsi="Times New Roman"/>
          <w:szCs w:val="20"/>
        </w:rPr>
      </w:pPr>
      <w:r w:rsidRPr="005C3E39">
        <w:rPr>
          <w:rFonts w:ascii="Times New Roman" w:hAnsi="Times New Roman"/>
          <w:szCs w:val="20"/>
          <w:lang w:val="en-US"/>
        </w:rPr>
        <w:t>R</w:t>
      </w:r>
      <w:r w:rsidRPr="005C3E39">
        <w:rPr>
          <w:rFonts w:ascii="Times New Roman" w:hAnsi="Times New Roman"/>
          <w:szCs w:val="20"/>
        </w:rPr>
        <w:t xml:space="preserve"> - искомая номинальная ставка</w:t>
      </w:r>
    </w:p>
    <w:p w14:paraId="3E954F1E" w14:textId="77777777" w:rsidR="008C0A68" w:rsidRPr="005C3E39" w:rsidRDefault="002B470C" w:rsidP="008C0A68">
      <w:pPr>
        <w:pStyle w:val="12"/>
        <w:tabs>
          <w:tab w:val="left" w:pos="993"/>
        </w:tabs>
        <w:ind w:left="0"/>
        <w:jc w:val="both"/>
        <w:rPr>
          <w:rFonts w:eastAsia="Batang"/>
          <w:color w:val="000000"/>
          <w:szCs w:val="24"/>
        </w:rPr>
      </w:pPr>
      <m:oMath>
        <m:sSub>
          <m:sSubPr>
            <m:ctrlPr>
              <w:rPr>
                <w:rFonts w:ascii="Cambria Math" w:eastAsia="Batang" w:hAnsi="Cambria Math"/>
                <w:color w:val="000000"/>
                <w:szCs w:val="24"/>
              </w:rPr>
            </m:ctrlPr>
          </m:sSubPr>
          <m:e>
            <m:r>
              <m:rPr>
                <m:sty m:val="p"/>
              </m:rPr>
              <w:rPr>
                <w:rFonts w:ascii="Cambria Math" w:eastAsia="Batang" w:hAnsi="Cambria Math"/>
                <w:color w:val="000000"/>
                <w:szCs w:val="24"/>
              </w:rPr>
              <m:t>S</m:t>
            </m:r>
          </m:e>
          <m:sub>
            <m:r>
              <m:rPr>
                <m:sty m:val="p"/>
              </m:rPr>
              <w:rPr>
                <w:rFonts w:ascii="Cambria Math" w:eastAsia="Batang" w:hAnsi="Cambria Math"/>
                <w:color w:val="000000"/>
                <w:szCs w:val="24"/>
              </w:rPr>
              <m:t>2</m:t>
            </m:r>
          </m:sub>
        </m:sSub>
      </m:oMath>
      <w:r w:rsidR="008C0A68" w:rsidRPr="005C3E39">
        <w:rPr>
          <w:rFonts w:eastAsia="Batang"/>
          <w:color w:val="000000"/>
          <w:szCs w:val="24"/>
        </w:rPr>
        <w:t xml:space="preserve"> – сумма 2 части (с учетом купонного дохода) согласно условиям сделки РЕПО;</w:t>
      </w:r>
    </w:p>
    <w:p w14:paraId="01090526" w14:textId="77777777" w:rsidR="008C0A68" w:rsidRPr="005C3E39" w:rsidRDefault="002B470C" w:rsidP="008C0A68">
      <w:pPr>
        <w:pStyle w:val="12"/>
        <w:tabs>
          <w:tab w:val="left" w:pos="993"/>
        </w:tabs>
        <w:ind w:left="0"/>
        <w:jc w:val="both"/>
        <w:rPr>
          <w:rFonts w:eastAsia="Batang"/>
          <w:color w:val="000000"/>
          <w:szCs w:val="24"/>
        </w:rPr>
      </w:pPr>
      <m:oMath>
        <m:sSub>
          <m:sSubPr>
            <m:ctrlPr>
              <w:rPr>
                <w:rFonts w:ascii="Cambria Math" w:eastAsia="Batang" w:hAnsi="Cambria Math"/>
                <w:color w:val="000000"/>
                <w:szCs w:val="24"/>
              </w:rPr>
            </m:ctrlPr>
          </m:sSubPr>
          <m:e>
            <m:r>
              <m:rPr>
                <m:sty m:val="p"/>
              </m:rPr>
              <w:rPr>
                <w:rFonts w:ascii="Cambria Math" w:eastAsia="Batang" w:hAnsi="Cambria Math"/>
                <w:color w:val="000000"/>
                <w:szCs w:val="24"/>
              </w:rPr>
              <m:t>S</m:t>
            </m:r>
          </m:e>
          <m:sub>
            <m:r>
              <m:rPr>
                <m:sty m:val="p"/>
              </m:rPr>
              <w:rPr>
                <w:rFonts w:ascii="Cambria Math" w:eastAsia="Batang" w:hAnsi="Cambria Math"/>
                <w:color w:val="000000"/>
                <w:szCs w:val="24"/>
              </w:rPr>
              <m:t>1</m:t>
            </m:r>
          </m:sub>
        </m:sSub>
      </m:oMath>
      <w:r w:rsidR="008C0A68" w:rsidRPr="005C3E39">
        <w:rPr>
          <w:rFonts w:eastAsia="Batang"/>
          <w:color w:val="000000"/>
          <w:szCs w:val="24"/>
        </w:rPr>
        <w:t xml:space="preserve"> – сумма 1 части (с учетом купонного дохода) согласно условиям сделки РЕПО;</w:t>
      </w:r>
    </w:p>
    <w:p w14:paraId="52172EB6" w14:textId="77777777" w:rsidR="008C0A68" w:rsidRPr="005C3E39" w:rsidRDefault="002B470C" w:rsidP="008C0A68">
      <w:pPr>
        <w:pStyle w:val="12"/>
        <w:tabs>
          <w:tab w:val="left" w:pos="993"/>
        </w:tabs>
        <w:ind w:left="0"/>
        <w:jc w:val="both"/>
        <w:rPr>
          <w:rFonts w:eastAsia="Batang"/>
          <w:color w:val="000000"/>
          <w:szCs w:val="24"/>
        </w:rPr>
      </w:pPr>
      <m:oMath>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365</m:t>
            </m:r>
          </m:sub>
        </m:sSub>
      </m:oMath>
      <w:r w:rsidR="008C0A68" w:rsidRPr="005C3E39">
        <w:rPr>
          <w:rFonts w:eastAsia="Batang"/>
          <w:color w:val="000000"/>
          <w:szCs w:val="24"/>
        </w:rPr>
        <w:t xml:space="preserve"> – число дней между исполнением 1 и 2 части сделки РЕПО, приходящихся на календарный год, состоящий из 365 дней;</w:t>
      </w:r>
    </w:p>
    <w:p w14:paraId="5E67E6E4" w14:textId="77777777" w:rsidR="008C0A68" w:rsidRPr="005C3E39" w:rsidRDefault="002B470C" w:rsidP="008C0A68">
      <w:pPr>
        <w:pStyle w:val="12"/>
        <w:tabs>
          <w:tab w:val="left" w:pos="993"/>
        </w:tabs>
        <w:ind w:left="0"/>
        <w:jc w:val="both"/>
        <w:rPr>
          <w:rFonts w:eastAsia="Batang"/>
          <w:color w:val="000000"/>
          <w:szCs w:val="24"/>
        </w:rPr>
      </w:pPr>
      <m:oMath>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366</m:t>
            </m:r>
          </m:sub>
        </m:sSub>
      </m:oMath>
      <w:r w:rsidR="008C0A68" w:rsidRPr="005C3E39">
        <w:rPr>
          <w:rFonts w:eastAsia="Batang"/>
          <w:color w:val="000000"/>
          <w:szCs w:val="24"/>
        </w:rPr>
        <w:t>– число дней между исполнением 1 и 2 части сделки РЕПО, приходящихся на календарный год, состоящий из 366 дней.</w:t>
      </w:r>
    </w:p>
    <w:p w14:paraId="531197E9" w14:textId="77777777" w:rsidR="008C0A68" w:rsidRPr="005C3E39" w:rsidRDefault="008C0A68" w:rsidP="008C0A68">
      <w:pPr>
        <w:pStyle w:val="12"/>
        <w:tabs>
          <w:tab w:val="left" w:pos="993"/>
        </w:tabs>
        <w:ind w:left="0"/>
        <w:jc w:val="both"/>
        <w:rPr>
          <w:rFonts w:eastAsia="Batang"/>
          <w:color w:val="000000"/>
          <w:szCs w:val="24"/>
        </w:rPr>
      </w:pPr>
      <w:r w:rsidRPr="005C3E39">
        <w:rPr>
          <w:rFonts w:eastAsia="Batang"/>
          <w:color w:val="000000"/>
          <w:szCs w:val="24"/>
        </w:rPr>
        <w:t>Значение рассчитывается без промежуточных округлений в процентном выражении с точностью до 8 знаков после запятой.</w:t>
      </w:r>
    </w:p>
    <w:p w14:paraId="7BC6A4B2" w14:textId="77777777" w:rsidR="009F7758" w:rsidRDefault="009F7758" w:rsidP="009F7758">
      <w:pPr>
        <w:rPr>
          <w:rFonts w:eastAsia="Batang"/>
        </w:rPr>
      </w:pPr>
    </w:p>
    <w:p w14:paraId="0EA92E36" w14:textId="77777777" w:rsidR="009F7758" w:rsidRPr="00410E5A" w:rsidRDefault="009F7758" w:rsidP="009F7758">
      <w:pPr>
        <w:pStyle w:val="12"/>
        <w:tabs>
          <w:tab w:val="left" w:pos="993"/>
        </w:tabs>
        <w:ind w:left="0"/>
        <w:jc w:val="both"/>
        <w:rPr>
          <w:rFonts w:eastAsia="Batang"/>
          <w:color w:val="000000"/>
          <w:szCs w:val="24"/>
        </w:rPr>
      </w:pPr>
      <w:r w:rsidRPr="00410E5A">
        <w:rPr>
          <w:rFonts w:eastAsia="Batang"/>
          <w:color w:val="000000"/>
          <w:szCs w:val="24"/>
        </w:rPr>
        <w:t xml:space="preserve">Справедливая стоимость кредиторской/дебиторской задолженности по договорам РЕПО оценивается в размере соответственно полученных/переданных  денежных средств  по первой части договора РЕПО до момента исполнения второй части договора РЕПО </w:t>
      </w:r>
      <w:r>
        <w:rPr>
          <w:color w:val="1F497D"/>
        </w:rPr>
        <w:t xml:space="preserve"> с учетом процентов, накопленных на отчетную дату</w:t>
      </w:r>
      <w:r w:rsidRPr="00410E5A">
        <w:rPr>
          <w:rFonts w:eastAsia="Batang"/>
          <w:color w:val="000000"/>
          <w:szCs w:val="24"/>
        </w:rPr>
        <w:t>.</w:t>
      </w:r>
    </w:p>
    <w:p w14:paraId="0B5E96AD" w14:textId="77777777" w:rsidR="009F7758" w:rsidRPr="00410E5A" w:rsidRDefault="009F7758" w:rsidP="009F7758">
      <w:pPr>
        <w:pStyle w:val="12"/>
        <w:tabs>
          <w:tab w:val="left" w:pos="993"/>
        </w:tabs>
        <w:ind w:left="0"/>
        <w:jc w:val="both"/>
        <w:rPr>
          <w:rFonts w:eastAsia="Batang"/>
          <w:color w:val="000000"/>
          <w:szCs w:val="24"/>
        </w:rPr>
      </w:pPr>
      <w:r w:rsidRPr="00410E5A">
        <w:rPr>
          <w:rFonts w:eastAsia="Batang"/>
          <w:color w:val="000000"/>
          <w:szCs w:val="24"/>
        </w:rPr>
        <w:t xml:space="preserve">Справедливая стоимость ценных бумаг, переданных Фондом </w:t>
      </w:r>
    </w:p>
    <w:p w14:paraId="46C72225" w14:textId="77777777" w:rsidR="009F7758" w:rsidRPr="00410E5A" w:rsidRDefault="009F7758" w:rsidP="009F7758">
      <w:pPr>
        <w:pStyle w:val="12"/>
        <w:tabs>
          <w:tab w:val="left" w:pos="993"/>
        </w:tabs>
        <w:ind w:left="0"/>
        <w:jc w:val="both"/>
        <w:rPr>
          <w:rFonts w:eastAsia="Batang"/>
          <w:color w:val="000000"/>
          <w:szCs w:val="24"/>
        </w:rPr>
      </w:pPr>
      <w:r w:rsidRPr="00410E5A">
        <w:rPr>
          <w:rFonts w:eastAsia="Batang"/>
          <w:color w:val="000000"/>
          <w:szCs w:val="24"/>
        </w:rPr>
        <w:t>по первой части РЕПО в течение периода от даты исполнения первой части договора прямого РЕПО до даты исполнения второй части договора РЕПО каждый рабочий день определяется согласно настоящих Правил определения СЧА.</w:t>
      </w:r>
    </w:p>
    <w:p w14:paraId="6075C13A" w14:textId="77777777" w:rsidR="009F7758" w:rsidRPr="00410E5A" w:rsidRDefault="009F7758" w:rsidP="009F7758">
      <w:pPr>
        <w:pStyle w:val="12"/>
        <w:tabs>
          <w:tab w:val="left" w:pos="993"/>
        </w:tabs>
        <w:ind w:left="0"/>
        <w:jc w:val="both"/>
        <w:rPr>
          <w:rFonts w:eastAsia="Batang"/>
          <w:color w:val="000000"/>
        </w:rPr>
      </w:pPr>
    </w:p>
    <w:p w14:paraId="6E1754AB" w14:textId="1018163D" w:rsidR="00F134F6" w:rsidRDefault="009F7758" w:rsidP="00F134F6">
      <w:pPr>
        <w:rPr>
          <w:rFonts w:eastAsia="Batang"/>
          <w:color w:val="000000"/>
          <w:szCs w:val="24"/>
        </w:rPr>
      </w:pPr>
      <w:r w:rsidRPr="00410E5A">
        <w:rPr>
          <w:rFonts w:eastAsia="Batang"/>
          <w:color w:val="000000"/>
          <w:szCs w:val="24"/>
        </w:rPr>
        <w:t xml:space="preserve">           Если стоимость ценных бумаг по второй части договора РЕПО скорректирована на сумму выплат доходов по ценным бумагам, переданным по договору РЕПО, или сумму иных выплат, осуществляемых в рамках договора РЕПО, то расчет справедливой стоимости кредиторской/дебиторской задолженности  по договору РЕПО осуществляется с учетом соответствующих выплат.</w:t>
      </w:r>
      <w:r w:rsidR="00F134F6" w:rsidRPr="00F134F6">
        <w:rPr>
          <w:rFonts w:eastAsia="Batang"/>
          <w:color w:val="000000"/>
          <w:szCs w:val="24"/>
        </w:rPr>
        <w:t xml:space="preserve"> </w:t>
      </w:r>
      <w:r w:rsidR="00F134F6">
        <w:rPr>
          <w:rFonts w:eastAsia="Batang"/>
          <w:color w:val="000000"/>
          <w:szCs w:val="24"/>
        </w:rPr>
        <w:t>При этом, если в соответствии с условиями выпуска ценной бумаги и раскрытием информации эмитентом купонный  доход по валютным ценным бумагам осуществлялся в рублях, то корректировка на сумму таких выплат  производится в рублях</w:t>
      </w:r>
    </w:p>
    <w:p w14:paraId="2082BB78" w14:textId="77777777" w:rsidR="009F7758" w:rsidRPr="00410E5A" w:rsidRDefault="009F7758" w:rsidP="009F7758">
      <w:pPr>
        <w:pStyle w:val="12"/>
        <w:tabs>
          <w:tab w:val="left" w:pos="993"/>
        </w:tabs>
        <w:ind w:left="0"/>
        <w:jc w:val="both"/>
        <w:rPr>
          <w:rFonts w:eastAsia="Batang"/>
          <w:color w:val="000000"/>
          <w:szCs w:val="24"/>
        </w:rPr>
      </w:pPr>
    </w:p>
    <w:p w14:paraId="525EA590" w14:textId="77777777" w:rsidR="009F7758" w:rsidRPr="005C3E39" w:rsidRDefault="009F7758" w:rsidP="009F7758">
      <w:pPr>
        <w:pStyle w:val="12"/>
        <w:tabs>
          <w:tab w:val="left" w:pos="993"/>
        </w:tabs>
        <w:ind w:left="0"/>
        <w:jc w:val="both"/>
        <w:rPr>
          <w:rFonts w:eastAsia="Batang"/>
          <w:color w:val="000000"/>
          <w:szCs w:val="24"/>
        </w:rPr>
      </w:pPr>
    </w:p>
    <w:p w14:paraId="5B13EB7E" w14:textId="77777777" w:rsidR="008C0A68" w:rsidRPr="005C3E39" w:rsidRDefault="008C0A68" w:rsidP="008C0A68">
      <w:pPr>
        <w:pStyle w:val="12"/>
        <w:tabs>
          <w:tab w:val="left" w:pos="993"/>
        </w:tabs>
        <w:ind w:left="0"/>
        <w:jc w:val="both"/>
        <w:rPr>
          <w:color w:val="000000"/>
          <w:szCs w:val="24"/>
        </w:rPr>
      </w:pPr>
    </w:p>
    <w:p w14:paraId="0992EF7B" w14:textId="23F35EC2" w:rsidR="006E1A11" w:rsidRPr="005C3E39" w:rsidRDefault="006E1A11" w:rsidP="0072342E">
      <w:pPr>
        <w:pStyle w:val="12"/>
        <w:tabs>
          <w:tab w:val="left" w:pos="993"/>
        </w:tabs>
        <w:ind w:left="0"/>
        <w:jc w:val="both"/>
        <w:rPr>
          <w:color w:val="000000"/>
          <w:szCs w:val="24"/>
        </w:rPr>
      </w:pPr>
    </w:p>
    <w:p w14:paraId="61EED235" w14:textId="5D8F6292" w:rsidR="006E1A11" w:rsidRDefault="006E1A11" w:rsidP="0072342E">
      <w:pPr>
        <w:pStyle w:val="12"/>
        <w:tabs>
          <w:tab w:val="left" w:pos="993"/>
        </w:tabs>
        <w:ind w:left="0"/>
        <w:jc w:val="both"/>
        <w:rPr>
          <w:color w:val="000000"/>
          <w:szCs w:val="24"/>
        </w:rPr>
      </w:pPr>
    </w:p>
    <w:p w14:paraId="60C558EC" w14:textId="77777777" w:rsidR="002D1F81" w:rsidRPr="005C3E39" w:rsidRDefault="002D1F81" w:rsidP="0072342E">
      <w:pPr>
        <w:pStyle w:val="12"/>
        <w:tabs>
          <w:tab w:val="left" w:pos="993"/>
        </w:tabs>
        <w:ind w:left="0"/>
        <w:jc w:val="both"/>
        <w:rPr>
          <w:color w:val="000000"/>
          <w:szCs w:val="24"/>
        </w:rPr>
      </w:pPr>
    </w:p>
    <w:p w14:paraId="26C0DFF5" w14:textId="04DB6144" w:rsidR="00524AFE" w:rsidRPr="005C3E39" w:rsidRDefault="00524AFE" w:rsidP="0072342E">
      <w:pPr>
        <w:pStyle w:val="2"/>
        <w:rPr>
          <w:rFonts w:eastAsia="Calibri"/>
          <w:u w:val="single"/>
          <w:lang w:eastAsia="en-US"/>
        </w:rPr>
      </w:pPr>
      <w:bookmarkStart w:id="9" w:name="_Toc74043310"/>
      <w:r w:rsidRPr="005C3E39">
        <w:rPr>
          <w:rFonts w:eastAsia="Calibri"/>
          <w:u w:val="single"/>
          <w:lang w:eastAsia="en-US"/>
        </w:rPr>
        <w:t>Дебиторская и кредиторская задолженность.</w:t>
      </w:r>
      <w:bookmarkEnd w:id="9"/>
    </w:p>
    <w:p w14:paraId="6F2F1603" w14:textId="7C6C66A6" w:rsidR="003E18ED" w:rsidRPr="005C3E39" w:rsidRDefault="003E18ED" w:rsidP="003E18ED">
      <w:pPr>
        <w:rPr>
          <w:rFonts w:eastAsia="Calibri"/>
          <w:lang w:eastAsia="en-US"/>
        </w:rPr>
      </w:pPr>
    </w:p>
    <w:p w14:paraId="21AB1DD2" w14:textId="77777777" w:rsidR="003C64C3" w:rsidRPr="005C3E39" w:rsidRDefault="003E18ED" w:rsidP="003C64C3">
      <w:pPr>
        <w:pStyle w:val="12"/>
        <w:tabs>
          <w:tab w:val="left" w:pos="993"/>
        </w:tabs>
        <w:ind w:left="0"/>
        <w:jc w:val="both"/>
        <w:rPr>
          <w:bCs/>
          <w:szCs w:val="24"/>
        </w:rPr>
      </w:pPr>
      <w:r w:rsidRPr="005C3E39">
        <w:rPr>
          <w:b/>
          <w:bCs/>
          <w:szCs w:val="24"/>
        </w:rPr>
        <w:t>Операционная дебиторская задолженность</w:t>
      </w:r>
      <w:r w:rsidRPr="005C3E39">
        <w:rPr>
          <w:bCs/>
          <w:szCs w:val="24"/>
        </w:rPr>
        <w:t xml:space="preserve"> – дебиторская задолженность контрагента, возникающая в ходе нормального операционного цикла, которая будет погашена в течение сроков, установленных в настоящих Прави</w:t>
      </w:r>
      <w:r w:rsidR="003C64C3" w:rsidRPr="005C3E39">
        <w:rPr>
          <w:bCs/>
          <w:szCs w:val="24"/>
        </w:rPr>
        <w:t>л</w:t>
      </w:r>
      <w:r w:rsidRPr="005C3E39">
        <w:rPr>
          <w:bCs/>
          <w:szCs w:val="24"/>
        </w:rPr>
        <w:t xml:space="preserve">ами. Допустимые сроки просрочки, установленные для операционной дебиторской задолженности, не должны приводить к признанию безнадежной к получению задолженности, а также к обесценению задолженности. Такая задолженность будет реализована управляющей компанией в полном объеме в сроки, укладывающиеся в нормальную рыночную (или внутреннюю) практику взаимодействия с конкретным видом дебиторской задолженности. Установленные сроки просрочки и исполнения обязательств не должны превышать рекомендуемых сроков в настоящих Правилами, если иное не подтверждено внутренней статистикой управляющей компании. Операционная дебиторская задолженность оценивается по номиналу в случае отсутствия иных факторов обесценения. </w:t>
      </w:r>
    </w:p>
    <w:p w14:paraId="3F64D0AE" w14:textId="25E7376D" w:rsidR="003C64C3" w:rsidRPr="005C3E39" w:rsidRDefault="003C64C3" w:rsidP="003C64C3">
      <w:pPr>
        <w:pStyle w:val="12"/>
        <w:tabs>
          <w:tab w:val="left" w:pos="993"/>
        </w:tabs>
        <w:ind w:left="0"/>
        <w:jc w:val="both"/>
        <w:rPr>
          <w:color w:val="000000"/>
          <w:szCs w:val="24"/>
        </w:rPr>
      </w:pPr>
      <w:r w:rsidRPr="005C3E39">
        <w:rPr>
          <w:color w:val="000000"/>
          <w:szCs w:val="24"/>
        </w:rPr>
        <w:t xml:space="preserve">Конкретный срок операционного цикла дебиторской задолженности приведен в Приложении </w:t>
      </w:r>
      <w:r w:rsidR="00551E6E" w:rsidRPr="005C3E39">
        <w:rPr>
          <w:color w:val="000000"/>
          <w:szCs w:val="24"/>
        </w:rPr>
        <w:t>2</w:t>
      </w:r>
      <w:r w:rsidRPr="005C3E39">
        <w:rPr>
          <w:color w:val="000000"/>
          <w:szCs w:val="24"/>
        </w:rPr>
        <w:t xml:space="preserve"> по каждому виду задолженности.</w:t>
      </w:r>
    </w:p>
    <w:p w14:paraId="7444A1AE" w14:textId="25CCFE3C" w:rsidR="003E18ED" w:rsidRPr="005C3E39" w:rsidRDefault="003E18ED" w:rsidP="007B7481">
      <w:pPr>
        <w:contextualSpacing/>
        <w:mirrorIndents/>
        <w:jc w:val="both"/>
        <w:rPr>
          <w:bCs/>
          <w:szCs w:val="24"/>
        </w:rPr>
      </w:pPr>
    </w:p>
    <w:p w14:paraId="31623150" w14:textId="1F0A894E" w:rsidR="006E1A11" w:rsidRPr="005C3E39" w:rsidRDefault="006E1A11" w:rsidP="006E1A11">
      <w:pPr>
        <w:rPr>
          <w:rFonts w:eastAsia="Calibri"/>
          <w:lang w:eastAsia="en-US"/>
        </w:rPr>
      </w:pPr>
    </w:p>
    <w:p w14:paraId="7242347F" w14:textId="590C3561" w:rsidR="006E1A11" w:rsidRPr="005C3E39" w:rsidRDefault="00FD066E" w:rsidP="006E1A11">
      <w:pPr>
        <w:rPr>
          <w:b/>
          <w:bCs/>
          <w:szCs w:val="24"/>
          <w:u w:val="single"/>
        </w:rPr>
      </w:pPr>
      <w:r w:rsidRPr="005C3E39">
        <w:rPr>
          <w:b/>
          <w:bCs/>
          <w:szCs w:val="24"/>
          <w:u w:val="single"/>
        </w:rPr>
        <w:t xml:space="preserve">Дебиторская задолженность  по выплате  </w:t>
      </w:r>
      <w:r w:rsidR="00015160" w:rsidRPr="005C3E39">
        <w:rPr>
          <w:b/>
          <w:szCs w:val="24"/>
          <w:u w:val="single"/>
        </w:rPr>
        <w:t>процентного (купонного) дохода</w:t>
      </w:r>
      <w:r w:rsidR="00015160" w:rsidRPr="005C3E39">
        <w:rPr>
          <w:b/>
          <w:bCs/>
          <w:szCs w:val="24"/>
          <w:u w:val="single"/>
        </w:rPr>
        <w:t>,</w:t>
      </w:r>
      <w:r w:rsidR="00015160" w:rsidRPr="005C3E39">
        <w:rPr>
          <w:szCs w:val="24"/>
        </w:rPr>
        <w:t xml:space="preserve"> </w:t>
      </w:r>
      <w:r w:rsidR="00015160" w:rsidRPr="005C3E39">
        <w:rPr>
          <w:b/>
          <w:bCs/>
          <w:szCs w:val="24"/>
          <w:u w:val="single"/>
        </w:rPr>
        <w:t xml:space="preserve"> частичному/полному погашению эмитентом основного долга по долговым ценным бумагам</w:t>
      </w:r>
    </w:p>
    <w:p w14:paraId="47BFB359" w14:textId="38D3AD5A" w:rsidR="00FD066E" w:rsidRPr="005C3E39" w:rsidRDefault="00FD066E" w:rsidP="006E1A11">
      <w:pPr>
        <w:rPr>
          <w:rFonts w:eastAsia="Calibri"/>
          <w:lang w:eastAsia="en-US"/>
        </w:rPr>
      </w:pPr>
    </w:p>
    <w:p w14:paraId="2BAE2EF0" w14:textId="3B991275" w:rsidR="0014628E" w:rsidRPr="005C3E39" w:rsidRDefault="0014628E" w:rsidP="006E1A11">
      <w:pPr>
        <w:rPr>
          <w:rFonts w:eastAsia="Calibri"/>
          <w:i/>
          <w:u w:val="single"/>
          <w:lang w:eastAsia="en-US"/>
        </w:rPr>
      </w:pPr>
      <w:r w:rsidRPr="005C3E39">
        <w:rPr>
          <w:rFonts w:eastAsia="Calibri"/>
          <w:i/>
          <w:u w:val="single"/>
          <w:lang w:eastAsia="en-US"/>
        </w:rPr>
        <w:t xml:space="preserve">Критерии признания </w:t>
      </w:r>
    </w:p>
    <w:p w14:paraId="7A65DD34" w14:textId="77777777" w:rsidR="0014628E" w:rsidRPr="005C3E39" w:rsidRDefault="0014628E" w:rsidP="006E1A11">
      <w:pPr>
        <w:rPr>
          <w:rFonts w:eastAsia="Calibri"/>
          <w:lang w:eastAsia="en-US"/>
        </w:rPr>
      </w:pPr>
    </w:p>
    <w:p w14:paraId="14EBA294" w14:textId="77777777" w:rsidR="00FD066E" w:rsidRPr="005C3E39" w:rsidRDefault="00FD066E" w:rsidP="00FD066E">
      <w:pPr>
        <w:contextualSpacing/>
        <w:mirrorIndents/>
        <w:jc w:val="both"/>
        <w:rPr>
          <w:bCs/>
          <w:szCs w:val="24"/>
        </w:rPr>
      </w:pPr>
      <w:r w:rsidRPr="005C3E39">
        <w:rPr>
          <w:bCs/>
          <w:szCs w:val="24"/>
        </w:rPr>
        <w:t xml:space="preserve">Датой признания дебиторской задолженности по процентному (купонному) доходу по долговым ценным бумагам является: </w:t>
      </w:r>
    </w:p>
    <w:p w14:paraId="2EC8C7C1" w14:textId="1F1DE8F1" w:rsidR="00FD066E" w:rsidRDefault="00FD066E" w:rsidP="00FD066E">
      <w:pPr>
        <w:pStyle w:val="12"/>
        <w:tabs>
          <w:tab w:val="left" w:pos="993"/>
        </w:tabs>
        <w:ind w:left="0"/>
        <w:contextualSpacing/>
        <w:mirrorIndents/>
        <w:jc w:val="both"/>
        <w:rPr>
          <w:rFonts w:eastAsia="Batang"/>
          <w:szCs w:val="24"/>
        </w:rPr>
      </w:pPr>
      <w:r w:rsidRPr="005C3E39">
        <w:rPr>
          <w:bCs/>
          <w:szCs w:val="24"/>
        </w:rPr>
        <w:t xml:space="preserve">• </w:t>
      </w:r>
      <w:r w:rsidRPr="005C3E39">
        <w:rPr>
          <w:rFonts w:eastAsia="Batang"/>
          <w:szCs w:val="24"/>
        </w:rPr>
        <w:t xml:space="preserve">дата погашения процентного (купонного) дохода на основании решения о выпуске; </w:t>
      </w:r>
    </w:p>
    <w:p w14:paraId="2FD21B42" w14:textId="77777777" w:rsidR="002A0CD5" w:rsidRPr="005C3E39" w:rsidRDefault="002A0CD5" w:rsidP="002A0CD5">
      <w:pPr>
        <w:pStyle w:val="12"/>
        <w:tabs>
          <w:tab w:val="left" w:pos="993"/>
        </w:tabs>
        <w:ind w:left="0"/>
        <w:contextualSpacing/>
        <w:mirrorIndents/>
        <w:jc w:val="both"/>
        <w:rPr>
          <w:rFonts w:eastAsia="Batang"/>
          <w:szCs w:val="24"/>
        </w:rPr>
      </w:pPr>
      <w:r w:rsidRPr="005C3E39">
        <w:rPr>
          <w:bCs/>
          <w:szCs w:val="24"/>
        </w:rPr>
        <w:t>•</w:t>
      </w:r>
      <w:r w:rsidRPr="00141BC3">
        <w:rPr>
          <w:rFonts w:eastAsia="Batang"/>
          <w:szCs w:val="24"/>
        </w:rPr>
        <w:t xml:space="preserve"> </w:t>
      </w:r>
      <w:r w:rsidRPr="005C3E39">
        <w:rPr>
          <w:rFonts w:eastAsia="Batang"/>
          <w:szCs w:val="24"/>
        </w:rPr>
        <w:t>дата погашения процентного (купонного) дохода на основании решения о выпуске</w:t>
      </w:r>
      <w:r>
        <w:rPr>
          <w:rFonts w:eastAsia="Batang"/>
          <w:szCs w:val="24"/>
        </w:rPr>
        <w:t xml:space="preserve"> по ценным бумагам, находящимся в РЕПО</w:t>
      </w:r>
    </w:p>
    <w:p w14:paraId="67A41599" w14:textId="77777777" w:rsidR="00FD066E" w:rsidRPr="005C3E39" w:rsidRDefault="00FD066E" w:rsidP="00FD066E">
      <w:pPr>
        <w:contextualSpacing/>
        <w:mirrorIndents/>
        <w:jc w:val="both"/>
        <w:rPr>
          <w:bCs/>
          <w:szCs w:val="24"/>
        </w:rPr>
      </w:pPr>
      <w:r w:rsidRPr="005C3E39">
        <w:rPr>
          <w:bCs/>
          <w:szCs w:val="24"/>
        </w:rPr>
        <w:t>Датой признания дебиторской задолженности по выплате части номинальной стоимости</w:t>
      </w:r>
    </w:p>
    <w:p w14:paraId="1CDD6A4C" w14:textId="77777777" w:rsidR="00FD066E" w:rsidRPr="005C3E39" w:rsidRDefault="00FD066E" w:rsidP="00FD066E">
      <w:pPr>
        <w:contextualSpacing/>
        <w:mirrorIndents/>
        <w:jc w:val="both"/>
        <w:rPr>
          <w:bCs/>
          <w:szCs w:val="24"/>
        </w:rPr>
      </w:pPr>
      <w:r w:rsidRPr="005C3E39">
        <w:rPr>
          <w:bCs/>
          <w:szCs w:val="24"/>
        </w:rPr>
        <w:t>(полной номинальной стоимости) облигации является:</w:t>
      </w:r>
    </w:p>
    <w:p w14:paraId="3FF42992" w14:textId="10BE0F62" w:rsidR="00FD066E" w:rsidRPr="005C3E39" w:rsidRDefault="00FD066E" w:rsidP="00FD066E">
      <w:pPr>
        <w:rPr>
          <w:bCs/>
          <w:szCs w:val="24"/>
        </w:rPr>
      </w:pPr>
      <w:r w:rsidRPr="005C3E39">
        <w:rPr>
          <w:bCs/>
          <w:szCs w:val="24"/>
        </w:rPr>
        <w:t>• дата погашения соответствующей части номинальной стоимости (полной номинальной стоимости), предусмотренная условиями выпуска ценной бумаги.</w:t>
      </w:r>
    </w:p>
    <w:p w14:paraId="523A9564" w14:textId="77777777" w:rsidR="002A0CD5" w:rsidRPr="005C3E39" w:rsidRDefault="002A0CD5" w:rsidP="002A0CD5">
      <w:pPr>
        <w:contextualSpacing/>
        <w:mirrorIndents/>
        <w:jc w:val="both"/>
        <w:rPr>
          <w:bCs/>
          <w:szCs w:val="24"/>
        </w:rPr>
      </w:pPr>
      <w:r w:rsidRPr="005C3E39">
        <w:rPr>
          <w:bCs/>
          <w:szCs w:val="24"/>
        </w:rPr>
        <w:t>•</w:t>
      </w:r>
      <w:r>
        <w:rPr>
          <w:bCs/>
          <w:szCs w:val="24"/>
        </w:rPr>
        <w:t>Д</w:t>
      </w:r>
      <w:r w:rsidRPr="005C3E39">
        <w:rPr>
          <w:bCs/>
          <w:szCs w:val="24"/>
        </w:rPr>
        <w:t>ата погашения соответствующей части номинальной стоимости (полной номинальной стоимости), предусмотренная условиями выпуска ценной бумаги</w:t>
      </w:r>
      <w:r>
        <w:rPr>
          <w:bCs/>
          <w:szCs w:val="24"/>
        </w:rPr>
        <w:t xml:space="preserve"> </w:t>
      </w:r>
      <w:r>
        <w:rPr>
          <w:rFonts w:eastAsia="Batang"/>
          <w:szCs w:val="24"/>
        </w:rPr>
        <w:t>по ценным бумагам, находящимся в РЕПО</w:t>
      </w:r>
    </w:p>
    <w:p w14:paraId="6F1CA415" w14:textId="30E417C4" w:rsidR="00FD066E" w:rsidRPr="005C3E39" w:rsidRDefault="00FD066E" w:rsidP="00FD066E">
      <w:pPr>
        <w:rPr>
          <w:rFonts w:eastAsia="Calibri"/>
          <w:lang w:eastAsia="en-US"/>
        </w:rPr>
      </w:pPr>
    </w:p>
    <w:p w14:paraId="5B9ED712" w14:textId="766A5DE7" w:rsidR="0014628E" w:rsidRPr="005C3E39" w:rsidRDefault="0014628E" w:rsidP="0014628E">
      <w:pPr>
        <w:rPr>
          <w:rFonts w:eastAsia="Calibri"/>
          <w:i/>
          <w:u w:val="single"/>
          <w:lang w:eastAsia="en-US"/>
        </w:rPr>
      </w:pPr>
      <w:r w:rsidRPr="005C3E39">
        <w:rPr>
          <w:rFonts w:eastAsia="Calibri"/>
          <w:i/>
          <w:u w:val="single"/>
          <w:lang w:eastAsia="en-US"/>
        </w:rPr>
        <w:t xml:space="preserve">Критерии </w:t>
      </w:r>
      <w:r w:rsidR="00E369BC" w:rsidRPr="005C3E39">
        <w:rPr>
          <w:rFonts w:eastAsia="Calibri"/>
          <w:i/>
          <w:u w:val="single"/>
          <w:lang w:eastAsia="en-US"/>
        </w:rPr>
        <w:t xml:space="preserve">прекращения </w:t>
      </w:r>
      <w:r w:rsidRPr="005C3E39">
        <w:rPr>
          <w:rFonts w:eastAsia="Calibri"/>
          <w:i/>
          <w:u w:val="single"/>
          <w:lang w:eastAsia="en-US"/>
        </w:rPr>
        <w:t xml:space="preserve">признания </w:t>
      </w:r>
    </w:p>
    <w:p w14:paraId="28C9987D" w14:textId="77777777" w:rsidR="0014628E" w:rsidRPr="005C3E39" w:rsidRDefault="0014628E" w:rsidP="00FD066E">
      <w:pPr>
        <w:rPr>
          <w:rFonts w:eastAsia="Calibri"/>
          <w:lang w:eastAsia="en-US"/>
        </w:rPr>
      </w:pPr>
    </w:p>
    <w:p w14:paraId="3A488A70" w14:textId="1D0905F9" w:rsidR="00FD066E" w:rsidRPr="005C3E39" w:rsidRDefault="002A0CD5" w:rsidP="00FD066E">
      <w:pPr>
        <w:contextualSpacing/>
        <w:mirrorIndents/>
        <w:jc w:val="both"/>
        <w:rPr>
          <w:bCs/>
          <w:szCs w:val="24"/>
        </w:rPr>
      </w:pPr>
      <w:r w:rsidRPr="005C3E39">
        <w:rPr>
          <w:bCs/>
          <w:szCs w:val="24"/>
        </w:rPr>
        <w:t>•</w:t>
      </w:r>
      <w:r w:rsidR="00FD066E" w:rsidRPr="005C3E39">
        <w:rPr>
          <w:bCs/>
          <w:szCs w:val="24"/>
        </w:rPr>
        <w:t xml:space="preserve">Дата фактического исполнения соответствующего обязательства, подтвержденная банковской выпиской или отчетом брокера; </w:t>
      </w:r>
    </w:p>
    <w:p w14:paraId="0BF3C3A2" w14:textId="1F7C9283" w:rsidR="00FD066E" w:rsidRPr="005C3E39" w:rsidRDefault="00FD066E" w:rsidP="00FD066E">
      <w:pPr>
        <w:contextualSpacing/>
        <w:mirrorIndents/>
        <w:jc w:val="both"/>
        <w:rPr>
          <w:bCs/>
          <w:szCs w:val="24"/>
        </w:rPr>
      </w:pPr>
    </w:p>
    <w:p w14:paraId="6985525D" w14:textId="7E36D9E0" w:rsidR="00015160" w:rsidRPr="005C3E39" w:rsidRDefault="002A0CD5" w:rsidP="007B7481">
      <w:r w:rsidRPr="005C3E39">
        <w:rPr>
          <w:bCs/>
          <w:szCs w:val="24"/>
        </w:rPr>
        <w:t>•</w:t>
      </w:r>
      <w:r w:rsidR="00FD066E" w:rsidRPr="005C3E39">
        <w:rPr>
          <w:bCs/>
          <w:szCs w:val="24"/>
        </w:rPr>
        <w:t>Дата ликвидации эмитента, согласно выписке из ЕГРЮЛ (или выписки из соответствующего уполномоченного органа иностранного государства</w:t>
      </w:r>
    </w:p>
    <w:p w14:paraId="037BC33E" w14:textId="54D15173" w:rsidR="0064259A" w:rsidRPr="005C3E39" w:rsidRDefault="00A3432D" w:rsidP="0064259A">
      <w:pPr>
        <w:ind w:left="426"/>
        <w:contextualSpacing/>
        <w:jc w:val="both"/>
        <w:rPr>
          <w:b/>
          <w:i/>
          <w:szCs w:val="24"/>
          <w:u w:val="single"/>
          <w:lang w:eastAsia="en-US"/>
        </w:rPr>
      </w:pPr>
      <w:r w:rsidRPr="005C3E39">
        <w:rPr>
          <w:rFonts w:eastAsia="Batang"/>
          <w:color w:val="000000"/>
          <w:szCs w:val="24"/>
        </w:rPr>
        <w:t xml:space="preserve"> </w:t>
      </w:r>
      <w:r w:rsidR="0064259A" w:rsidRPr="005C3E39">
        <w:rPr>
          <w:szCs w:val="24"/>
          <w:lang w:eastAsia="en-US"/>
        </w:rPr>
        <w:t xml:space="preserve">  </w:t>
      </w:r>
      <w:r w:rsidR="0064259A" w:rsidRPr="005C3E39">
        <w:rPr>
          <w:b/>
          <w:i/>
          <w:szCs w:val="24"/>
          <w:u w:val="single"/>
          <w:lang w:eastAsia="en-US"/>
        </w:rPr>
        <w:t>Справедливая стоимость</w:t>
      </w:r>
    </w:p>
    <w:p w14:paraId="3DFDE1D0" w14:textId="77777777" w:rsidR="0064259A" w:rsidRPr="005C3E39" w:rsidRDefault="0064259A" w:rsidP="0064259A">
      <w:pPr>
        <w:ind w:left="426"/>
        <w:contextualSpacing/>
        <w:jc w:val="both"/>
        <w:rPr>
          <w:szCs w:val="24"/>
          <w:lang w:eastAsia="en-US"/>
        </w:rPr>
      </w:pPr>
      <w:r w:rsidRPr="005C3E39">
        <w:rPr>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14:paraId="7C6A852D" w14:textId="77777777" w:rsidR="0064259A" w:rsidRPr="005C3E39" w:rsidRDefault="0064259A" w:rsidP="0064259A">
      <w:pPr>
        <w:ind w:left="709" w:firstLine="709"/>
        <w:contextualSpacing/>
        <w:jc w:val="both"/>
        <w:rPr>
          <w:szCs w:val="24"/>
          <w:lang w:eastAsia="en-US"/>
        </w:rPr>
      </w:pPr>
    </w:p>
    <w:p w14:paraId="1D83F747" w14:textId="7A0116DB" w:rsidR="0064259A" w:rsidRPr="005C3E39" w:rsidRDefault="009F0476" w:rsidP="0064259A">
      <w:pPr>
        <w:ind w:left="709" w:firstLine="709"/>
        <w:contextualSpacing/>
        <w:jc w:val="both"/>
        <w:rPr>
          <w:szCs w:val="24"/>
          <w:lang w:eastAsia="en-US"/>
        </w:rPr>
      </w:pPr>
      <w:r>
        <w:rPr>
          <w:szCs w:val="24"/>
          <w:lang w:val="en-US" w:eastAsia="en-US"/>
        </w:rPr>
        <w:t>a</w:t>
      </w:r>
      <w:r w:rsidR="0064259A" w:rsidRPr="005C3E39">
        <w:rPr>
          <w:szCs w:val="24"/>
          <w:lang w:eastAsia="en-US"/>
        </w:rPr>
        <w:t xml:space="preserve">) 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w:t>
      </w:r>
      <w:r>
        <w:rPr>
          <w:szCs w:val="24"/>
          <w:lang w:eastAsia="en-US"/>
        </w:rPr>
        <w:t>и раскрытием информации  эмитентом. (При этом, если в соответствии с условиями выпуска ценной бумаги и раскрытием информации эмитентом купонный  доход по валютным ценным бумагам выплачивается в рублях, то начисление дебиторской задолженности производится в рублях)</w:t>
      </w:r>
      <w:r w:rsidRPr="005C3E39">
        <w:rPr>
          <w:szCs w:val="24"/>
          <w:lang w:eastAsia="en-US"/>
        </w:rPr>
        <w:t xml:space="preserve"> </w:t>
      </w:r>
      <w:r w:rsidR="0064259A" w:rsidRPr="005C3E39">
        <w:rPr>
          <w:szCs w:val="24"/>
          <w:lang w:eastAsia="en-US"/>
        </w:rPr>
        <w:t>- с указанной даты до наиболее ранней из дат:</w:t>
      </w:r>
    </w:p>
    <w:p w14:paraId="6AB20FDE" w14:textId="77777777" w:rsidR="0064259A" w:rsidRPr="005C3E39" w:rsidRDefault="0064259A" w:rsidP="0018397B">
      <w:pPr>
        <w:numPr>
          <w:ilvl w:val="0"/>
          <w:numId w:val="4"/>
        </w:numPr>
        <w:ind w:left="709" w:firstLine="709"/>
        <w:contextualSpacing/>
        <w:jc w:val="both"/>
        <w:rPr>
          <w:szCs w:val="24"/>
          <w:lang w:eastAsia="en-US"/>
        </w:rPr>
      </w:pPr>
      <w:r w:rsidRPr="005C3E39">
        <w:rPr>
          <w:szCs w:val="24"/>
          <w:lang w:eastAsia="en-US"/>
        </w:rPr>
        <w:t>фактического исполнения эмитентом обязательства;</w:t>
      </w:r>
    </w:p>
    <w:p w14:paraId="4C17B6E0" w14:textId="77777777" w:rsidR="0064259A" w:rsidRPr="005C3E39" w:rsidRDefault="0064259A" w:rsidP="0018397B">
      <w:pPr>
        <w:numPr>
          <w:ilvl w:val="0"/>
          <w:numId w:val="4"/>
        </w:numPr>
        <w:ind w:left="709" w:firstLine="709"/>
        <w:contextualSpacing/>
        <w:jc w:val="both"/>
        <w:rPr>
          <w:szCs w:val="24"/>
          <w:lang w:eastAsia="en-US"/>
        </w:rPr>
      </w:pPr>
      <w:r w:rsidRPr="005C3E39">
        <w:rPr>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14:paraId="44CF998C" w14:textId="77777777" w:rsidR="0064259A" w:rsidRPr="005C3E39" w:rsidRDefault="0064259A" w:rsidP="0018397B">
      <w:pPr>
        <w:numPr>
          <w:ilvl w:val="0"/>
          <w:numId w:val="4"/>
        </w:numPr>
        <w:ind w:left="709" w:firstLine="709"/>
        <w:contextualSpacing/>
        <w:jc w:val="both"/>
        <w:rPr>
          <w:szCs w:val="24"/>
          <w:lang w:eastAsia="en-US"/>
        </w:rPr>
      </w:pPr>
      <w:r w:rsidRPr="005C3E39">
        <w:rPr>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14:paraId="6B427875" w14:textId="130DD99D" w:rsidR="0064259A" w:rsidRPr="005C3E39" w:rsidRDefault="009F0476" w:rsidP="0064259A">
      <w:pPr>
        <w:ind w:left="709" w:firstLine="709"/>
        <w:contextualSpacing/>
        <w:jc w:val="both"/>
        <w:rPr>
          <w:szCs w:val="24"/>
          <w:lang w:eastAsia="en-US"/>
        </w:rPr>
      </w:pPr>
      <w:r>
        <w:rPr>
          <w:szCs w:val="24"/>
          <w:lang w:val="en-US" w:eastAsia="en-US"/>
        </w:rPr>
        <w:t>b</w:t>
      </w:r>
      <w:r w:rsidR="0064259A" w:rsidRPr="005C3E39">
        <w:rPr>
          <w:szCs w:val="24"/>
          <w:lang w:eastAsia="en-US"/>
        </w:rPr>
        <w:t>)   нулю – с наиболее ранней из дат, указанной в пп.</w:t>
      </w:r>
      <w:r w:rsidR="00096B0B">
        <w:rPr>
          <w:szCs w:val="24"/>
          <w:lang w:eastAsia="en-US"/>
        </w:rPr>
        <w:t>а</w:t>
      </w:r>
      <w:r w:rsidR="0064259A" w:rsidRPr="005C3E39">
        <w:rPr>
          <w:szCs w:val="24"/>
          <w:lang w:eastAsia="en-US"/>
        </w:rPr>
        <w:t>.</w:t>
      </w:r>
    </w:p>
    <w:p w14:paraId="70141038" w14:textId="77777777" w:rsidR="0064259A" w:rsidRPr="005C3E39" w:rsidRDefault="0064259A" w:rsidP="0064259A">
      <w:pPr>
        <w:ind w:left="426"/>
        <w:contextualSpacing/>
        <w:jc w:val="both"/>
        <w:rPr>
          <w:szCs w:val="24"/>
          <w:lang w:eastAsia="en-US"/>
        </w:rPr>
      </w:pPr>
    </w:p>
    <w:p w14:paraId="4CBF2DF4" w14:textId="77777777" w:rsidR="0064259A" w:rsidRPr="005C3E39" w:rsidRDefault="0064259A" w:rsidP="0064259A">
      <w:pPr>
        <w:ind w:left="426"/>
        <w:contextualSpacing/>
        <w:jc w:val="both"/>
        <w:rPr>
          <w:szCs w:val="24"/>
          <w:lang w:eastAsia="en-US"/>
        </w:rPr>
      </w:pPr>
      <w:r w:rsidRPr="005C3E39">
        <w:rPr>
          <w:szCs w:val="24"/>
          <w:lang w:eastAsia="en-US"/>
        </w:rPr>
        <w:t xml:space="preserve">Оценка справедливой стоимости дебиторской задолженности по частичному/полному погашению эмитентом основного долга по долговым ценным бумагам определяется в следующем порядке: </w:t>
      </w:r>
    </w:p>
    <w:p w14:paraId="5D52BBFC" w14:textId="4D0726E0" w:rsidR="0064259A" w:rsidRPr="005C3E39" w:rsidRDefault="0064259A" w:rsidP="0018397B">
      <w:pPr>
        <w:numPr>
          <w:ilvl w:val="0"/>
          <w:numId w:val="5"/>
        </w:numPr>
        <w:ind w:left="709" w:firstLine="709"/>
        <w:contextualSpacing/>
        <w:jc w:val="both"/>
        <w:rPr>
          <w:szCs w:val="24"/>
          <w:lang w:eastAsia="en-US"/>
        </w:rPr>
      </w:pPr>
      <w:r w:rsidRPr="005C3E39">
        <w:rPr>
          <w:szCs w:val="24"/>
          <w:lang w:eastAsia="en-US"/>
        </w:rPr>
        <w:lastRenderedPageBreak/>
        <w:t xml:space="preserve">в размере, определенном на дату наступления срока исполнения соответствующего обязательства в соответствии с условиями выпуска ценной бумаги, и исходя из количества ценной бумаги на дату наступления указанного срока  </w:t>
      </w:r>
      <w:r w:rsidR="009F0476">
        <w:rPr>
          <w:szCs w:val="24"/>
          <w:lang w:eastAsia="en-US"/>
        </w:rPr>
        <w:t>(При этом, если в соответствии с условиями выпуска ценной бумаги и раскрытием информации эмитентом погашение номинала по валютным ценным бумагам выплачивается в рублях, то начисление дебиторской задолженности производится в рублях)</w:t>
      </w:r>
      <w:r w:rsidR="009F0476" w:rsidRPr="005C3E39">
        <w:rPr>
          <w:szCs w:val="24"/>
          <w:lang w:eastAsia="en-US"/>
        </w:rPr>
        <w:t xml:space="preserve">- </w:t>
      </w:r>
      <w:r w:rsidRPr="005C3E39">
        <w:rPr>
          <w:szCs w:val="24"/>
          <w:lang w:eastAsia="en-US"/>
        </w:rPr>
        <w:t>- с указанной даты до наиболее ранней из дат:</w:t>
      </w:r>
    </w:p>
    <w:p w14:paraId="4A02A44A" w14:textId="77777777" w:rsidR="0064259A" w:rsidRPr="005C3E39" w:rsidRDefault="0064259A" w:rsidP="0018397B">
      <w:pPr>
        <w:numPr>
          <w:ilvl w:val="0"/>
          <w:numId w:val="4"/>
        </w:numPr>
        <w:ind w:left="1418" w:firstLine="709"/>
        <w:contextualSpacing/>
        <w:jc w:val="both"/>
        <w:rPr>
          <w:szCs w:val="24"/>
          <w:lang w:eastAsia="en-US"/>
        </w:rPr>
      </w:pPr>
      <w:r w:rsidRPr="005C3E39">
        <w:rPr>
          <w:szCs w:val="24"/>
          <w:lang w:eastAsia="en-US"/>
        </w:rPr>
        <w:t>фактического исполнения эмитентом обязательства;</w:t>
      </w:r>
    </w:p>
    <w:p w14:paraId="62657A61" w14:textId="77777777" w:rsidR="0064259A" w:rsidRPr="005C3E39" w:rsidRDefault="0064259A" w:rsidP="0018397B">
      <w:pPr>
        <w:numPr>
          <w:ilvl w:val="0"/>
          <w:numId w:val="4"/>
        </w:numPr>
        <w:ind w:left="1418" w:firstLine="709"/>
        <w:contextualSpacing/>
        <w:jc w:val="both"/>
        <w:rPr>
          <w:szCs w:val="24"/>
          <w:lang w:eastAsia="en-US"/>
        </w:rPr>
      </w:pPr>
      <w:r w:rsidRPr="005C3E39">
        <w:rPr>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14:paraId="6A14D0B9" w14:textId="77777777" w:rsidR="0064259A" w:rsidRPr="005C3E39" w:rsidRDefault="0064259A" w:rsidP="0018397B">
      <w:pPr>
        <w:numPr>
          <w:ilvl w:val="0"/>
          <w:numId w:val="4"/>
        </w:numPr>
        <w:ind w:left="1418" w:firstLine="709"/>
        <w:contextualSpacing/>
        <w:jc w:val="both"/>
        <w:rPr>
          <w:szCs w:val="24"/>
          <w:lang w:eastAsia="en-US"/>
        </w:rPr>
      </w:pPr>
      <w:r w:rsidRPr="005C3E39">
        <w:rPr>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14:paraId="3B984238" w14:textId="77777777" w:rsidR="0064259A" w:rsidRPr="005C3E39" w:rsidRDefault="0064259A" w:rsidP="0018397B">
      <w:pPr>
        <w:numPr>
          <w:ilvl w:val="0"/>
          <w:numId w:val="5"/>
        </w:numPr>
        <w:ind w:left="709" w:firstLine="709"/>
        <w:contextualSpacing/>
        <w:jc w:val="both"/>
        <w:rPr>
          <w:szCs w:val="24"/>
          <w:lang w:eastAsia="en-US"/>
        </w:rPr>
      </w:pPr>
      <w:r w:rsidRPr="005C3E39">
        <w:rPr>
          <w:szCs w:val="24"/>
          <w:lang w:eastAsia="en-US"/>
        </w:rPr>
        <w:t xml:space="preserve">нулю – с наиболее ранней из дат, указанной в пп. </w:t>
      </w:r>
      <w:r w:rsidRPr="005C3E39">
        <w:rPr>
          <w:szCs w:val="24"/>
          <w:lang w:val="en-US" w:eastAsia="en-US"/>
        </w:rPr>
        <w:t>a</w:t>
      </w:r>
      <w:r w:rsidRPr="005C3E39">
        <w:rPr>
          <w:szCs w:val="24"/>
          <w:lang w:eastAsia="en-US"/>
        </w:rPr>
        <w:t>.</w:t>
      </w:r>
    </w:p>
    <w:p w14:paraId="32B5A2F9" w14:textId="660B5572" w:rsidR="00015160" w:rsidRPr="005C3E39" w:rsidRDefault="00DD1B83" w:rsidP="0064259A">
      <w:pPr>
        <w:spacing w:before="120" w:after="120" w:line="300" w:lineRule="auto"/>
        <w:rPr>
          <w:szCs w:val="24"/>
        </w:rPr>
      </w:pPr>
      <w:r w:rsidRPr="00B315FF">
        <w:rPr>
          <w:szCs w:val="24"/>
        </w:rPr>
        <w:t>Для долговой ценной бумаги, по которой в условиях недружественных действий, предпринимаемых со стороны иностранных государств, международных организаций, иностранных финансовых организаций,  международных расчётно-клиринговых центров «Евроклир Банк», г. Брюссель, и «Клирстрим Бэнкинг», г. Люксембург, в том числе связанных с введением ограничительных мер в отношении Российской Федерации, российских юридических лиц и граждан Российской Федерации, не осуществляется выплата купонного дохода, дебиторская задолженность по процентному (купонному) доходу, по частичному/полному погашению эмитентом основного долга подлежит 100% обесценению.</w:t>
      </w:r>
    </w:p>
    <w:p w14:paraId="216F4003" w14:textId="3246280A" w:rsidR="00015160" w:rsidRPr="005C3E39" w:rsidRDefault="00015160" w:rsidP="00015160">
      <w:pPr>
        <w:spacing w:before="120" w:after="120" w:line="300" w:lineRule="auto"/>
        <w:ind w:firstLine="709"/>
        <w:jc w:val="both"/>
        <w:rPr>
          <w:szCs w:val="24"/>
        </w:rPr>
      </w:pPr>
      <w:r w:rsidRPr="005C3E39">
        <w:rPr>
          <w:szCs w:val="24"/>
        </w:rPr>
        <w:t xml:space="preserve">По истечении срока квалификации дебиторской задолженности по частичному/полному погашению эмитентом основного долга по долговым ценным бумагам как операционной, а также в случае выявления иных событий, приводящих к обесценению, справедливая стоимость определяется в соответствии с Приложением </w:t>
      </w:r>
      <w:r w:rsidR="005C3E39" w:rsidRPr="005C3E39">
        <w:rPr>
          <w:szCs w:val="24"/>
        </w:rPr>
        <w:t>3</w:t>
      </w:r>
      <w:r w:rsidRPr="005C3E39">
        <w:rPr>
          <w:szCs w:val="24"/>
        </w:rPr>
        <w:t>.</w:t>
      </w:r>
    </w:p>
    <w:p w14:paraId="0C0A33D6" w14:textId="7E734579" w:rsidR="005C3E39" w:rsidRPr="005C3E39" w:rsidRDefault="005C3E39" w:rsidP="00015160">
      <w:pPr>
        <w:spacing w:before="120" w:after="120" w:line="300" w:lineRule="auto"/>
        <w:ind w:firstLine="709"/>
        <w:jc w:val="both"/>
        <w:rPr>
          <w:szCs w:val="24"/>
        </w:rPr>
      </w:pPr>
    </w:p>
    <w:p w14:paraId="6EA782AE" w14:textId="77777777" w:rsidR="005C3E39" w:rsidRPr="005C3E39" w:rsidRDefault="005C3E39" w:rsidP="005C3E39">
      <w:pPr>
        <w:spacing w:before="120" w:after="120" w:line="300" w:lineRule="auto"/>
        <w:ind w:firstLine="709"/>
        <w:jc w:val="both"/>
        <w:rPr>
          <w:b/>
          <w:szCs w:val="24"/>
        </w:rPr>
      </w:pPr>
      <w:r w:rsidRPr="005C3E39">
        <w:rPr>
          <w:b/>
          <w:szCs w:val="24"/>
        </w:rPr>
        <w:t>Дебиторская задолженность, возникающая при дроблении/консолидации акций или паев</w:t>
      </w:r>
    </w:p>
    <w:p w14:paraId="2B4D4672" w14:textId="77777777" w:rsidR="005C3E39" w:rsidRPr="005C3E39" w:rsidRDefault="005C3E39" w:rsidP="005C3E39">
      <w:pPr>
        <w:spacing w:before="120" w:after="120" w:line="300" w:lineRule="auto"/>
        <w:ind w:firstLine="709"/>
        <w:jc w:val="both"/>
        <w:rPr>
          <w:i/>
          <w:szCs w:val="24"/>
        </w:rPr>
      </w:pPr>
      <w:r w:rsidRPr="005C3E39">
        <w:rPr>
          <w:i/>
          <w:szCs w:val="24"/>
        </w:rPr>
        <w:t>Критерии признания:</w:t>
      </w:r>
    </w:p>
    <w:p w14:paraId="4E94595B" w14:textId="77777777" w:rsidR="005C3E39" w:rsidRPr="005C3E39" w:rsidRDefault="005C3E39" w:rsidP="004872F3">
      <w:pPr>
        <w:numPr>
          <w:ilvl w:val="0"/>
          <w:numId w:val="25"/>
        </w:numPr>
        <w:spacing w:before="120" w:after="120" w:line="300" w:lineRule="auto"/>
        <w:ind w:left="0" w:firstLine="709"/>
        <w:jc w:val="both"/>
        <w:rPr>
          <w:szCs w:val="24"/>
        </w:rPr>
      </w:pPr>
      <w:r w:rsidRPr="005C3E39">
        <w:rPr>
          <w:bCs/>
          <w:szCs w:val="24"/>
        </w:rPr>
        <w:t>Два рабочих дня до даты вступления дробления/консолидации в силу;</w:t>
      </w:r>
    </w:p>
    <w:p w14:paraId="2C34DF03" w14:textId="77777777" w:rsidR="005C3E39" w:rsidRPr="005C3E39" w:rsidRDefault="005C3E39" w:rsidP="004872F3">
      <w:pPr>
        <w:numPr>
          <w:ilvl w:val="0"/>
          <w:numId w:val="25"/>
        </w:numPr>
        <w:spacing w:before="120" w:after="120" w:line="300" w:lineRule="auto"/>
        <w:ind w:left="0" w:firstLine="709"/>
        <w:jc w:val="both"/>
        <w:rPr>
          <w:szCs w:val="24"/>
        </w:rPr>
      </w:pPr>
      <w:r w:rsidRPr="005C3E39">
        <w:rPr>
          <w:bCs/>
          <w:szCs w:val="24"/>
        </w:rPr>
        <w:t>В случае, если существенное изменение цены ценной бумаги, вызванное корпоративным действием, происходит в другую дату, то по мотивированному суждению управляющей компании, дебиторская задолженность может быть признана в эту дату.</w:t>
      </w:r>
    </w:p>
    <w:p w14:paraId="035C3F99" w14:textId="77777777" w:rsidR="005C3E39" w:rsidRPr="005C3E39" w:rsidRDefault="005C3E39" w:rsidP="005C3E39">
      <w:pPr>
        <w:spacing w:before="120" w:after="120" w:line="300" w:lineRule="auto"/>
        <w:jc w:val="both"/>
        <w:rPr>
          <w:szCs w:val="24"/>
        </w:rPr>
      </w:pPr>
    </w:p>
    <w:p w14:paraId="05008B54" w14:textId="77777777" w:rsidR="005C3E39" w:rsidRPr="005C3E39" w:rsidRDefault="005C3E39" w:rsidP="005C3E39">
      <w:pPr>
        <w:spacing w:before="120" w:after="120" w:line="300" w:lineRule="auto"/>
        <w:ind w:firstLine="709"/>
        <w:jc w:val="both"/>
        <w:rPr>
          <w:i/>
          <w:szCs w:val="24"/>
        </w:rPr>
      </w:pPr>
      <w:r w:rsidRPr="005C3E39">
        <w:rPr>
          <w:i/>
          <w:szCs w:val="24"/>
        </w:rPr>
        <w:t>Критерии прекращения признания:</w:t>
      </w:r>
    </w:p>
    <w:p w14:paraId="00EDD895" w14:textId="77777777" w:rsidR="005C3E39" w:rsidRPr="005C3E39" w:rsidRDefault="005C3E39" w:rsidP="004872F3">
      <w:pPr>
        <w:pStyle w:val="a7"/>
        <w:numPr>
          <w:ilvl w:val="0"/>
          <w:numId w:val="25"/>
        </w:numPr>
        <w:spacing w:before="120" w:after="120" w:line="300" w:lineRule="auto"/>
        <w:ind w:left="0" w:firstLine="709"/>
        <w:jc w:val="both"/>
        <w:rPr>
          <w:rFonts w:ascii="Times New Roman" w:hAnsi="Times New Roman"/>
          <w:sz w:val="24"/>
          <w:szCs w:val="24"/>
        </w:rPr>
      </w:pPr>
      <w:r w:rsidRPr="005C3E39">
        <w:rPr>
          <w:rFonts w:ascii="Times New Roman" w:hAnsi="Times New Roman"/>
          <w:bCs/>
          <w:sz w:val="24"/>
          <w:szCs w:val="24"/>
        </w:rPr>
        <w:t>Дата зачисления ценных бумаг в рамках дробления/консолидации акций или паев.</w:t>
      </w:r>
    </w:p>
    <w:p w14:paraId="3F9A6F0C" w14:textId="77777777" w:rsidR="005C3E39" w:rsidRPr="005C3E39" w:rsidRDefault="005C3E39" w:rsidP="005C3E39">
      <w:pPr>
        <w:spacing w:before="120" w:after="120" w:line="300" w:lineRule="auto"/>
        <w:ind w:firstLine="709"/>
        <w:jc w:val="both"/>
        <w:rPr>
          <w:szCs w:val="24"/>
        </w:rPr>
      </w:pPr>
      <w:r w:rsidRPr="005C3E39">
        <w:rPr>
          <w:szCs w:val="24"/>
        </w:rPr>
        <w:lastRenderedPageBreak/>
        <w:t xml:space="preserve">Справедливая стоимость дебиторской задолженности, возникающей при дроблении дробления/консолидации акций или паев определяется как справедливая стоимость ценных бумаг, подлежащих зачислению в ходе дробления дробления/консолидации акций или паев.   </w:t>
      </w:r>
    </w:p>
    <w:p w14:paraId="22A2EB91" w14:textId="43C81833" w:rsidR="005C3E39" w:rsidRPr="005C3E39" w:rsidRDefault="005C3E39" w:rsidP="005C3E39">
      <w:pPr>
        <w:spacing w:before="120" w:after="120" w:line="300" w:lineRule="auto"/>
        <w:ind w:firstLine="709"/>
        <w:jc w:val="both"/>
        <w:rPr>
          <w:szCs w:val="24"/>
        </w:rPr>
      </w:pPr>
      <w:r w:rsidRPr="005C3E39">
        <w:rPr>
          <w:szCs w:val="24"/>
        </w:rPr>
        <w:t>По истечении срока квалификации дебиторской задолженности, возникающей при дроблении дробления/консолидации акций или паев как операционной, а также в случае выявления иных событий, приводящих к обесценению, справедливая стоимость определяется в соответствии с Приложением 3.</w:t>
      </w:r>
    </w:p>
    <w:p w14:paraId="273D1DA8" w14:textId="77777777" w:rsidR="005C3E39" w:rsidRPr="005C3E39" w:rsidRDefault="005C3E39" w:rsidP="00015160">
      <w:pPr>
        <w:spacing w:before="120" w:after="120" w:line="300" w:lineRule="auto"/>
        <w:ind w:firstLine="709"/>
        <w:jc w:val="both"/>
        <w:rPr>
          <w:szCs w:val="24"/>
        </w:rPr>
      </w:pPr>
    </w:p>
    <w:p w14:paraId="3C1A6DB2" w14:textId="1FDAD6B7" w:rsidR="00E369BC" w:rsidRPr="005C3E39" w:rsidRDefault="00E369BC" w:rsidP="007B7481">
      <w:pPr>
        <w:jc w:val="both"/>
        <w:rPr>
          <w:szCs w:val="24"/>
        </w:rPr>
      </w:pPr>
      <w:r w:rsidRPr="005C3E39">
        <w:rPr>
          <w:b/>
          <w:szCs w:val="24"/>
        </w:rPr>
        <w:t>Дебиторская задолженность по выплате дивидендов по акциям</w:t>
      </w:r>
      <w:r w:rsidR="00D206DB" w:rsidRPr="005C3E39">
        <w:rPr>
          <w:b/>
          <w:szCs w:val="24"/>
        </w:rPr>
        <w:t>, дохода и паям (акциям) иностранных инвестиционных фондов (паям )</w:t>
      </w:r>
      <w:r w:rsidRPr="005C3E39">
        <w:rPr>
          <w:b/>
          <w:szCs w:val="24"/>
        </w:rPr>
        <w:t xml:space="preserve"> </w:t>
      </w:r>
    </w:p>
    <w:p w14:paraId="5CEF1C21" w14:textId="487AE07F" w:rsidR="00E369BC" w:rsidRPr="005C3E39" w:rsidRDefault="00E369BC" w:rsidP="005C3E39">
      <w:pPr>
        <w:spacing w:before="120" w:after="120" w:line="300" w:lineRule="auto"/>
        <w:rPr>
          <w:i/>
          <w:szCs w:val="24"/>
          <w:u w:val="single"/>
        </w:rPr>
      </w:pPr>
      <w:r w:rsidRPr="005C3E39">
        <w:rPr>
          <w:i/>
          <w:szCs w:val="24"/>
          <w:u w:val="single"/>
        </w:rPr>
        <w:t>Критерии признания:</w:t>
      </w:r>
    </w:p>
    <w:p w14:paraId="009EA2E2" w14:textId="296BF0D7" w:rsidR="00E369BC" w:rsidRPr="005C3E39" w:rsidRDefault="00E369BC" w:rsidP="004872F3">
      <w:pPr>
        <w:numPr>
          <w:ilvl w:val="0"/>
          <w:numId w:val="25"/>
        </w:numPr>
        <w:spacing w:before="120" w:after="120" w:line="300" w:lineRule="auto"/>
        <w:ind w:left="0" w:firstLine="709"/>
        <w:jc w:val="both"/>
        <w:rPr>
          <w:szCs w:val="24"/>
        </w:rPr>
      </w:pPr>
      <w:r w:rsidRPr="005C3E39">
        <w:rPr>
          <w:szCs w:val="24"/>
        </w:rPr>
        <w:t>Дата возникновения права на включение дебиторской задолженности по выплате дивидендов по акциям, в отношении:</w:t>
      </w:r>
    </w:p>
    <w:p w14:paraId="2C6D66E0" w14:textId="2D033116" w:rsidR="00DD4686" w:rsidRPr="005C3E39" w:rsidRDefault="00E369BC" w:rsidP="00E369BC">
      <w:pPr>
        <w:spacing w:before="120" w:after="120" w:line="300" w:lineRule="auto"/>
        <w:ind w:left="709"/>
        <w:jc w:val="both"/>
        <w:rPr>
          <w:bCs/>
          <w:szCs w:val="24"/>
        </w:rPr>
      </w:pPr>
      <w:r w:rsidRPr="005C3E39">
        <w:rPr>
          <w:szCs w:val="24"/>
        </w:rPr>
        <w:t xml:space="preserve">- </w:t>
      </w:r>
      <w:r w:rsidRPr="005C3E39">
        <w:rPr>
          <w:bCs/>
          <w:szCs w:val="24"/>
        </w:rPr>
        <w:t>акций, российских эмитентов является</w:t>
      </w:r>
      <w:r w:rsidR="00DD4686" w:rsidRPr="005C3E39">
        <w:rPr>
          <w:bCs/>
          <w:szCs w:val="24"/>
        </w:rPr>
        <w:t>:</w:t>
      </w:r>
    </w:p>
    <w:p w14:paraId="5C170F5A" w14:textId="08770C51" w:rsidR="00E369BC" w:rsidRPr="005C3E39" w:rsidRDefault="00E369BC" w:rsidP="004872F3">
      <w:pPr>
        <w:numPr>
          <w:ilvl w:val="0"/>
          <w:numId w:val="25"/>
        </w:numPr>
        <w:spacing w:before="120" w:after="120" w:line="300" w:lineRule="auto"/>
        <w:ind w:left="0" w:firstLine="709"/>
        <w:jc w:val="both"/>
        <w:rPr>
          <w:szCs w:val="24"/>
        </w:rPr>
      </w:pPr>
      <w:r w:rsidRPr="005C3E39">
        <w:rPr>
          <w:szCs w:val="24"/>
        </w:rPr>
        <w:t>дата фиксации реестра акционеров/владельцев ценных бумаг для выплаты дивидендов/доходов.</w:t>
      </w:r>
    </w:p>
    <w:p w14:paraId="665E87FE" w14:textId="5997F73C" w:rsidR="00E369BC" w:rsidRPr="005C3E39" w:rsidRDefault="00E369BC" w:rsidP="004872F3">
      <w:pPr>
        <w:numPr>
          <w:ilvl w:val="0"/>
          <w:numId w:val="25"/>
        </w:numPr>
        <w:spacing w:before="120" w:after="120" w:line="300" w:lineRule="auto"/>
        <w:ind w:left="0" w:firstLine="709"/>
        <w:jc w:val="both"/>
        <w:rPr>
          <w:szCs w:val="24"/>
        </w:rPr>
      </w:pPr>
      <w:r w:rsidRPr="005C3E39">
        <w:rPr>
          <w:szCs w:val="24"/>
        </w:rPr>
        <w:t>дата, с которой ценные бумаги начинают торговаться без учета объявленных дивидендов/доходов (для торгуемых ценных бумаг);</w:t>
      </w:r>
    </w:p>
    <w:p w14:paraId="7F517CB9" w14:textId="5B49C3C8" w:rsidR="00E369BC" w:rsidRPr="005C3E39" w:rsidRDefault="00E369BC" w:rsidP="00DD4686">
      <w:pPr>
        <w:spacing w:before="120" w:after="120" w:line="300" w:lineRule="auto"/>
        <w:jc w:val="both"/>
        <w:rPr>
          <w:szCs w:val="24"/>
        </w:rPr>
      </w:pPr>
      <w:r w:rsidRPr="005C3E39">
        <w:rPr>
          <w:szCs w:val="24"/>
        </w:rPr>
        <w:t xml:space="preserve">для указанных торгуемых ценных бумаг дата признания дебиторской задолженности по выплате дивидендов это дата, на которую в соответствии с законодательством определяются лица, имеющие право на получение дивидендов (далее – Дата фиксации реестра). Если Дата фиксации реестра не является торговым днем, то дивиденды признаются в составе активов в последний торговый день, предшествующий Дате фиксации реестра. Источниками данных о выплате дивидендов являются информационные агентства, уполномоченные на раскрытие информации, эмитенты. </w:t>
      </w:r>
    </w:p>
    <w:p w14:paraId="2674C392" w14:textId="6E7EEFAF" w:rsidR="00DD4686" w:rsidRPr="005C3E39" w:rsidRDefault="00DD4686" w:rsidP="00DD4686">
      <w:pPr>
        <w:spacing w:before="120" w:after="120" w:line="300" w:lineRule="auto"/>
        <w:ind w:left="709"/>
        <w:jc w:val="both"/>
        <w:rPr>
          <w:szCs w:val="24"/>
        </w:rPr>
      </w:pPr>
      <w:r w:rsidRPr="005C3E39">
        <w:rPr>
          <w:bCs/>
          <w:szCs w:val="24"/>
        </w:rPr>
        <w:t>-акцийиностранных эмитентов</w:t>
      </w:r>
      <w:r w:rsidRPr="005C3E39">
        <w:rPr>
          <w:szCs w:val="24"/>
        </w:rPr>
        <w:t xml:space="preserve"> </w:t>
      </w:r>
      <w:r w:rsidRPr="005C3E39">
        <w:rPr>
          <w:bCs/>
          <w:szCs w:val="24"/>
        </w:rPr>
        <w:t>является</w:t>
      </w:r>
      <w:r w:rsidRPr="005C3E39">
        <w:rPr>
          <w:szCs w:val="24"/>
        </w:rPr>
        <w:t>:</w:t>
      </w:r>
    </w:p>
    <w:p w14:paraId="742ABEF6" w14:textId="16BDEC7C" w:rsidR="00E369BC" w:rsidRPr="005C3E39" w:rsidRDefault="00DD4686" w:rsidP="004872F3">
      <w:pPr>
        <w:numPr>
          <w:ilvl w:val="0"/>
          <w:numId w:val="25"/>
        </w:numPr>
        <w:spacing w:before="120" w:after="120" w:line="300" w:lineRule="auto"/>
        <w:ind w:left="0" w:firstLine="709"/>
        <w:jc w:val="both"/>
        <w:rPr>
          <w:szCs w:val="24"/>
        </w:rPr>
      </w:pPr>
      <w:r w:rsidRPr="005C3E39">
        <w:rPr>
          <w:szCs w:val="24"/>
        </w:rPr>
        <w:t>д</w:t>
      </w:r>
      <w:r w:rsidR="00E369BC" w:rsidRPr="005C3E39">
        <w:rPr>
          <w:szCs w:val="24"/>
        </w:rPr>
        <w:t>ата возникновения права на включение дебиторской задолженности по выплате дивидендов по акциям</w:t>
      </w:r>
      <w:r w:rsidRPr="005C3E39">
        <w:rPr>
          <w:szCs w:val="24"/>
        </w:rPr>
        <w:t>.</w:t>
      </w:r>
    </w:p>
    <w:p w14:paraId="69DA5EA9" w14:textId="77777777" w:rsidR="00E369BC" w:rsidRPr="005C3E39" w:rsidRDefault="00E369BC" w:rsidP="004872F3">
      <w:pPr>
        <w:numPr>
          <w:ilvl w:val="0"/>
          <w:numId w:val="25"/>
        </w:numPr>
        <w:spacing w:before="120" w:after="120" w:line="300" w:lineRule="auto"/>
        <w:ind w:left="0" w:firstLine="709"/>
        <w:jc w:val="both"/>
        <w:rPr>
          <w:szCs w:val="24"/>
        </w:rPr>
      </w:pPr>
      <w:r w:rsidRPr="005C3E39">
        <w:rPr>
          <w:szCs w:val="24"/>
        </w:rPr>
        <w:t>дата, с которой ценные бумаги начинают торговаться без учета объявленных дивидендов (DVD_EX_DT);</w:t>
      </w:r>
    </w:p>
    <w:p w14:paraId="1DD718C8" w14:textId="7DD249BA" w:rsidR="00E369BC" w:rsidRPr="005C3E39" w:rsidRDefault="00E369BC" w:rsidP="004872F3">
      <w:pPr>
        <w:numPr>
          <w:ilvl w:val="0"/>
          <w:numId w:val="25"/>
        </w:numPr>
        <w:spacing w:before="120" w:after="120" w:line="300" w:lineRule="auto"/>
        <w:ind w:left="0" w:firstLine="709"/>
        <w:jc w:val="both"/>
        <w:rPr>
          <w:szCs w:val="24"/>
        </w:rPr>
      </w:pPr>
      <w:r w:rsidRPr="005C3E39">
        <w:rPr>
          <w:szCs w:val="24"/>
        </w:rPr>
        <w:t>дата, на которую определяются лица, имеющие право на получение дивидендов/доходов (в отсутствии информации о DVD_EX_DT).</w:t>
      </w:r>
    </w:p>
    <w:p w14:paraId="07634D40" w14:textId="0F2617B5" w:rsidR="00D206DB" w:rsidRPr="005C3E39" w:rsidRDefault="00D206DB" w:rsidP="007B7481">
      <w:pPr>
        <w:spacing w:before="120" w:after="120" w:line="300" w:lineRule="auto"/>
        <w:ind w:left="709"/>
        <w:jc w:val="both"/>
        <w:rPr>
          <w:szCs w:val="24"/>
        </w:rPr>
      </w:pPr>
      <w:r w:rsidRPr="005C3E39">
        <w:rPr>
          <w:szCs w:val="24"/>
        </w:rPr>
        <w:t xml:space="preserve">- </w:t>
      </w:r>
      <w:r w:rsidRPr="005C3E39">
        <w:rPr>
          <w:bCs/>
          <w:szCs w:val="24"/>
        </w:rPr>
        <w:t>паям (акциям) иностранных инвестиционных фондов является:</w:t>
      </w:r>
    </w:p>
    <w:p w14:paraId="2708F475" w14:textId="24363621" w:rsidR="00D206DB" w:rsidRPr="005C3E39" w:rsidRDefault="00D206DB" w:rsidP="004872F3">
      <w:pPr>
        <w:numPr>
          <w:ilvl w:val="0"/>
          <w:numId w:val="25"/>
        </w:numPr>
        <w:spacing w:before="120" w:after="120" w:line="300" w:lineRule="auto"/>
        <w:ind w:left="0" w:firstLine="709"/>
        <w:jc w:val="both"/>
        <w:rPr>
          <w:szCs w:val="24"/>
        </w:rPr>
      </w:pPr>
      <w:r w:rsidRPr="005C3E39">
        <w:rPr>
          <w:szCs w:val="24"/>
        </w:rPr>
        <w:t xml:space="preserve"> дата возникновения обязательства по выплате дохода, указанная в сообщении о выплате дохода по паям (акциям) иностранных инвестиционных фондов, которые входят в состав имущества ПИФ.</w:t>
      </w:r>
    </w:p>
    <w:p w14:paraId="76040C5C" w14:textId="125E2F42" w:rsidR="00E369BC" w:rsidRPr="005C3E39" w:rsidRDefault="00D206DB" w:rsidP="007B7481">
      <w:pPr>
        <w:spacing w:before="120" w:after="120" w:line="300" w:lineRule="auto"/>
        <w:jc w:val="both"/>
        <w:rPr>
          <w:szCs w:val="24"/>
        </w:rPr>
      </w:pPr>
      <w:r w:rsidRPr="005C3E39">
        <w:rPr>
          <w:szCs w:val="24"/>
        </w:rPr>
        <w:lastRenderedPageBreak/>
        <w:t xml:space="preserve">                 </w:t>
      </w:r>
      <w:r w:rsidR="00E369BC" w:rsidRPr="005C3E39">
        <w:rPr>
          <w:szCs w:val="24"/>
        </w:rPr>
        <w:t>Источниками данных о датах выплаты дивидендов/доходов являются НКО АО НРД, информационные агентства, эмитенты,</w:t>
      </w:r>
      <w:r w:rsidRPr="005C3E39">
        <w:rPr>
          <w:szCs w:val="24"/>
        </w:rPr>
        <w:t xml:space="preserve"> </w:t>
      </w:r>
      <w:r w:rsidR="000074A5" w:rsidRPr="005C3E39">
        <w:rPr>
          <w:szCs w:val="24"/>
        </w:rPr>
        <w:t xml:space="preserve">сайты </w:t>
      </w:r>
      <w:r w:rsidRPr="005C3E39">
        <w:rPr>
          <w:szCs w:val="24"/>
        </w:rPr>
        <w:t xml:space="preserve">управляющие компании паевых инвестиционных фондов, </w:t>
      </w:r>
      <w:r w:rsidR="00E369BC" w:rsidRPr="005C3E39">
        <w:rPr>
          <w:szCs w:val="24"/>
        </w:rPr>
        <w:t xml:space="preserve"> иные доступные источники.</w:t>
      </w:r>
    </w:p>
    <w:p w14:paraId="063E0E35" w14:textId="78B7E1C8" w:rsidR="00E369BC" w:rsidRPr="005C3E39" w:rsidRDefault="00DD4686" w:rsidP="00DD4686">
      <w:pPr>
        <w:spacing w:before="120" w:after="120" w:line="300" w:lineRule="auto"/>
        <w:jc w:val="both"/>
        <w:rPr>
          <w:szCs w:val="24"/>
        </w:rPr>
      </w:pPr>
      <w:r w:rsidRPr="005C3E39">
        <w:rPr>
          <w:szCs w:val="24"/>
        </w:rPr>
        <w:t xml:space="preserve">              При отсутствии информации о корпоративном действии </w:t>
      </w:r>
      <w:r w:rsidR="00D206DB" w:rsidRPr="005C3E39">
        <w:rPr>
          <w:szCs w:val="24"/>
        </w:rPr>
        <w:t xml:space="preserve">из выше указанных источников , в том числе </w:t>
      </w:r>
      <w:r w:rsidRPr="005C3E39">
        <w:rPr>
          <w:szCs w:val="24"/>
        </w:rPr>
        <w:t xml:space="preserve">от вышестоящего места хранения </w:t>
      </w:r>
      <w:r w:rsidR="000074A5" w:rsidRPr="005C3E39">
        <w:rPr>
          <w:szCs w:val="24"/>
        </w:rPr>
        <w:t xml:space="preserve"> признание задолженности происходит в  </w:t>
      </w:r>
      <w:r w:rsidRPr="005C3E39">
        <w:rPr>
          <w:szCs w:val="24"/>
        </w:rPr>
        <w:t xml:space="preserve"> дат</w:t>
      </w:r>
      <w:r w:rsidR="000074A5" w:rsidRPr="005C3E39">
        <w:rPr>
          <w:szCs w:val="24"/>
        </w:rPr>
        <w:t>у</w:t>
      </w:r>
      <w:r w:rsidRPr="005C3E39">
        <w:rPr>
          <w:szCs w:val="24"/>
        </w:rPr>
        <w:t xml:space="preserve"> зачисления ценных бумаг или денежных средств, право на получение которых предоставляет корпоративное действие эмитента.</w:t>
      </w:r>
    </w:p>
    <w:p w14:paraId="334D7512" w14:textId="77777777" w:rsidR="000074A5" w:rsidRPr="005C3E39" w:rsidRDefault="000074A5" w:rsidP="007B7481">
      <w:pPr>
        <w:spacing w:before="120" w:after="120" w:line="300" w:lineRule="auto"/>
        <w:jc w:val="both"/>
        <w:rPr>
          <w:szCs w:val="24"/>
        </w:rPr>
      </w:pPr>
    </w:p>
    <w:p w14:paraId="288E6672" w14:textId="77777777" w:rsidR="00E369BC" w:rsidRPr="005C3E39" w:rsidRDefault="00E369BC" w:rsidP="00E369BC">
      <w:pPr>
        <w:spacing w:before="120" w:after="120" w:line="300" w:lineRule="auto"/>
        <w:ind w:firstLine="709"/>
        <w:jc w:val="both"/>
        <w:rPr>
          <w:i/>
          <w:szCs w:val="24"/>
          <w:u w:val="single"/>
        </w:rPr>
      </w:pPr>
      <w:r w:rsidRPr="005C3E39">
        <w:rPr>
          <w:i/>
          <w:szCs w:val="24"/>
          <w:u w:val="single"/>
        </w:rPr>
        <w:t>Критерии прекращения признания:</w:t>
      </w:r>
    </w:p>
    <w:p w14:paraId="79FCFB14" w14:textId="77777777" w:rsidR="00E369BC" w:rsidRPr="005C3E39" w:rsidRDefault="00E369BC" w:rsidP="004872F3">
      <w:pPr>
        <w:numPr>
          <w:ilvl w:val="0"/>
          <w:numId w:val="25"/>
        </w:numPr>
        <w:spacing w:before="120" w:after="120" w:line="300" w:lineRule="auto"/>
        <w:ind w:left="0" w:firstLine="709"/>
        <w:jc w:val="both"/>
        <w:rPr>
          <w:szCs w:val="24"/>
        </w:rPr>
      </w:pPr>
      <w:r w:rsidRPr="005C3E39">
        <w:rPr>
          <w:bCs/>
          <w:szCs w:val="24"/>
        </w:rPr>
        <w:t>Дата исполнения обязательств эмитентом, подтвержденной банковской выпиской или отчетом брокера</w:t>
      </w:r>
      <w:r w:rsidRPr="005C3E39">
        <w:rPr>
          <w:szCs w:val="24"/>
        </w:rPr>
        <w:t>;</w:t>
      </w:r>
    </w:p>
    <w:p w14:paraId="79391C08" w14:textId="0CA31927" w:rsidR="00E369BC" w:rsidRPr="005C3E39" w:rsidRDefault="00E369BC" w:rsidP="004872F3">
      <w:pPr>
        <w:numPr>
          <w:ilvl w:val="0"/>
          <w:numId w:val="25"/>
        </w:numPr>
        <w:spacing w:before="120" w:after="120" w:line="300" w:lineRule="auto"/>
        <w:ind w:left="0" w:firstLine="709"/>
        <w:jc w:val="both"/>
        <w:rPr>
          <w:szCs w:val="24"/>
        </w:rPr>
      </w:pPr>
      <w:r w:rsidRPr="005C3E39">
        <w:rPr>
          <w:bCs/>
          <w:szCs w:val="24"/>
        </w:rPr>
        <w:t>Дата ликвидации эмитента, согласно выписке из ЕГРЮЛ (или выписки из соответствующего уполномоченного органа иностранного государства).</w:t>
      </w:r>
    </w:p>
    <w:p w14:paraId="6808AF1A" w14:textId="1A655453" w:rsidR="000074A5" w:rsidRPr="005C3E39" w:rsidRDefault="000074A5" w:rsidP="004872F3">
      <w:pPr>
        <w:numPr>
          <w:ilvl w:val="0"/>
          <w:numId w:val="25"/>
        </w:numPr>
        <w:spacing w:before="120" w:after="120" w:line="300" w:lineRule="auto"/>
        <w:ind w:left="0" w:firstLine="709"/>
        <w:jc w:val="both"/>
        <w:rPr>
          <w:szCs w:val="24"/>
        </w:rPr>
      </w:pPr>
      <w:r w:rsidRPr="005C3E39">
        <w:rPr>
          <w:bCs/>
          <w:szCs w:val="24"/>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p w14:paraId="200A153E" w14:textId="5AD29063" w:rsidR="0064259A" w:rsidRPr="005C3E39" w:rsidRDefault="0064259A" w:rsidP="007B7481">
      <w:pPr>
        <w:jc w:val="both"/>
        <w:rPr>
          <w:szCs w:val="24"/>
          <w:lang w:eastAsia="en-US"/>
        </w:rPr>
      </w:pPr>
      <w:r w:rsidRPr="005C3E39">
        <w:rPr>
          <w:szCs w:val="24"/>
          <w:lang w:eastAsia="en-US"/>
        </w:rPr>
        <w:t xml:space="preserve">        </w:t>
      </w:r>
    </w:p>
    <w:p w14:paraId="104EAD26" w14:textId="65E54080" w:rsidR="0064259A" w:rsidRPr="005C3E39" w:rsidRDefault="0064259A" w:rsidP="0064259A">
      <w:pPr>
        <w:jc w:val="both"/>
        <w:rPr>
          <w:szCs w:val="24"/>
          <w:lang w:eastAsia="en-US"/>
        </w:rPr>
      </w:pPr>
      <w:r w:rsidRPr="005C3E39">
        <w:rPr>
          <w:b/>
          <w:i/>
          <w:szCs w:val="24"/>
          <w:lang w:eastAsia="en-US"/>
        </w:rPr>
        <w:t>Оценка справедливой стоимости дебиторской задолженности</w:t>
      </w:r>
      <w:r w:rsidRPr="005C3E39">
        <w:rPr>
          <w:szCs w:val="24"/>
          <w:lang w:eastAsia="en-US"/>
        </w:rPr>
        <w:t xml:space="preserve"> по выплате дивидендов по акциям  определяется путем умножения количества акций выпуска, учтенных на счете депо на дату, на которую определяются лица, имеющие право на получение дивидендов и объявленного размера дивидендов, приходящегося на одну акцию соответствующей категории (типа).</w:t>
      </w:r>
    </w:p>
    <w:p w14:paraId="458A4E28" w14:textId="77777777" w:rsidR="0064259A" w:rsidRPr="005C3E39" w:rsidRDefault="0064259A" w:rsidP="007B7481">
      <w:pPr>
        <w:jc w:val="both"/>
        <w:rPr>
          <w:szCs w:val="24"/>
          <w:lang w:eastAsia="en-US"/>
        </w:rPr>
      </w:pPr>
    </w:p>
    <w:p w14:paraId="17F6F879" w14:textId="01FE626D" w:rsidR="0064259A" w:rsidRPr="005C3E39" w:rsidRDefault="0064259A" w:rsidP="007B7481">
      <w:pPr>
        <w:contextualSpacing/>
        <w:jc w:val="both"/>
        <w:rPr>
          <w:szCs w:val="24"/>
          <w:lang w:eastAsia="en-US"/>
        </w:rPr>
      </w:pPr>
      <w:r w:rsidRPr="005C3E39">
        <w:rPr>
          <w:b/>
          <w:i/>
          <w:szCs w:val="24"/>
          <w:lang w:eastAsia="en-US"/>
        </w:rPr>
        <w:t xml:space="preserve">Оценка справедливой стоимости дебиторской задолженности </w:t>
      </w:r>
      <w:r w:rsidRPr="005C3E39">
        <w:rPr>
          <w:szCs w:val="24"/>
          <w:lang w:eastAsia="en-US"/>
        </w:rPr>
        <w:t>по выплате дохода акци</w:t>
      </w:r>
      <w:r w:rsidR="00C61B26">
        <w:rPr>
          <w:szCs w:val="24"/>
          <w:lang w:eastAsia="en-US"/>
        </w:rPr>
        <w:t>ям</w:t>
      </w:r>
      <w:r w:rsidRPr="005C3E39">
        <w:rPr>
          <w:szCs w:val="24"/>
          <w:lang w:eastAsia="en-US"/>
        </w:rPr>
        <w:t xml:space="preserve"> (па</w:t>
      </w:r>
      <w:r w:rsidR="00C61B26">
        <w:rPr>
          <w:szCs w:val="24"/>
          <w:lang w:eastAsia="en-US"/>
        </w:rPr>
        <w:t>ям</w:t>
      </w:r>
      <w:r w:rsidRPr="005C3E39">
        <w:rPr>
          <w:szCs w:val="24"/>
          <w:lang w:eastAsia="en-US"/>
        </w:rPr>
        <w:t>) иностранных инвестиционных фондов определяется путем умножения количества акций (паев) иностранных инвестиционных фондов, учтенных на счете депо на дату, на которую определяются лица, имеющие право на получение дохода (дата фиксации) и</w:t>
      </w:r>
      <w:r w:rsidR="00FC3C42">
        <w:rPr>
          <w:szCs w:val="24"/>
          <w:lang w:eastAsia="en-US"/>
        </w:rPr>
        <w:t xml:space="preserve"> </w:t>
      </w:r>
      <w:r w:rsidRPr="005C3E39">
        <w:rPr>
          <w:szCs w:val="24"/>
          <w:lang w:eastAsia="en-US"/>
        </w:rPr>
        <w:t>объявленного размера дохода, приходящегося на один пай</w:t>
      </w:r>
      <w:r w:rsidR="00C61B26">
        <w:rPr>
          <w:szCs w:val="24"/>
          <w:lang w:eastAsia="en-US"/>
        </w:rPr>
        <w:t>(акцию)</w:t>
      </w:r>
      <w:r w:rsidRPr="005C3E39">
        <w:rPr>
          <w:szCs w:val="24"/>
          <w:lang w:eastAsia="en-US"/>
        </w:rPr>
        <w:t>.</w:t>
      </w:r>
    </w:p>
    <w:p w14:paraId="006C5ADF" w14:textId="141172BD" w:rsidR="0064259A" w:rsidRPr="005C3E39" w:rsidRDefault="0064259A" w:rsidP="00015160">
      <w:pPr>
        <w:pStyle w:val="12"/>
        <w:tabs>
          <w:tab w:val="left" w:pos="993"/>
        </w:tabs>
        <w:ind w:left="0"/>
        <w:jc w:val="both"/>
        <w:rPr>
          <w:color w:val="000000"/>
          <w:szCs w:val="24"/>
        </w:rPr>
      </w:pPr>
    </w:p>
    <w:p w14:paraId="7C6B81F7" w14:textId="4365E19B" w:rsidR="00540B49" w:rsidRPr="005C3E39" w:rsidRDefault="00540B49" w:rsidP="00015160">
      <w:pPr>
        <w:pStyle w:val="12"/>
        <w:tabs>
          <w:tab w:val="left" w:pos="993"/>
        </w:tabs>
        <w:ind w:left="0"/>
        <w:jc w:val="both"/>
        <w:rPr>
          <w:color w:val="000000"/>
          <w:szCs w:val="24"/>
        </w:rPr>
      </w:pPr>
    </w:p>
    <w:p w14:paraId="368CE155" w14:textId="36FC768E" w:rsidR="00540B49" w:rsidRPr="005C3E39" w:rsidRDefault="00540B49" w:rsidP="007B7481">
      <w:pPr>
        <w:jc w:val="both"/>
        <w:rPr>
          <w:b/>
          <w:szCs w:val="24"/>
          <w:lang w:eastAsia="en-US"/>
        </w:rPr>
      </w:pPr>
      <w:r w:rsidRPr="005C3E39">
        <w:rPr>
          <w:b/>
          <w:szCs w:val="24"/>
          <w:lang w:eastAsia="en-US"/>
        </w:rPr>
        <w:t>Дебиторская задолженность по процентам по сделкам поддержания неснижаемого остатка на расчетных счетах в банке</w:t>
      </w:r>
    </w:p>
    <w:p w14:paraId="30E7106D" w14:textId="203EC105" w:rsidR="00540B49" w:rsidRPr="005C3E39" w:rsidRDefault="00540B49" w:rsidP="00015160">
      <w:pPr>
        <w:pStyle w:val="12"/>
        <w:tabs>
          <w:tab w:val="left" w:pos="993"/>
        </w:tabs>
        <w:ind w:left="0"/>
        <w:jc w:val="both"/>
        <w:rPr>
          <w:color w:val="000000"/>
          <w:szCs w:val="24"/>
        </w:rPr>
      </w:pPr>
    </w:p>
    <w:p w14:paraId="227F9491" w14:textId="6FE45595" w:rsidR="00540B49" w:rsidRPr="005C3E39" w:rsidRDefault="00540B49" w:rsidP="00015160">
      <w:pPr>
        <w:pStyle w:val="12"/>
        <w:tabs>
          <w:tab w:val="left" w:pos="993"/>
        </w:tabs>
        <w:ind w:left="0"/>
        <w:jc w:val="both"/>
        <w:rPr>
          <w:i/>
          <w:color w:val="000000"/>
          <w:szCs w:val="24"/>
          <w:u w:val="single"/>
        </w:rPr>
      </w:pPr>
      <w:r w:rsidRPr="005C3E39">
        <w:rPr>
          <w:i/>
          <w:color w:val="000000"/>
          <w:szCs w:val="24"/>
          <w:u w:val="single"/>
        </w:rPr>
        <w:t>Критерии признания</w:t>
      </w:r>
    </w:p>
    <w:p w14:paraId="09A05B65" w14:textId="77777777" w:rsidR="00540B49" w:rsidRPr="005C3E39" w:rsidRDefault="00540B49" w:rsidP="00015160">
      <w:pPr>
        <w:pStyle w:val="12"/>
        <w:tabs>
          <w:tab w:val="left" w:pos="993"/>
        </w:tabs>
        <w:ind w:left="0"/>
        <w:jc w:val="both"/>
        <w:rPr>
          <w:bCs/>
          <w:sz w:val="22"/>
          <w:szCs w:val="22"/>
        </w:rPr>
      </w:pPr>
    </w:p>
    <w:p w14:paraId="40E1B555" w14:textId="77777777" w:rsidR="0063792A" w:rsidRPr="00F60381" w:rsidRDefault="0063792A" w:rsidP="0063792A">
      <w:pPr>
        <w:contextualSpacing/>
        <w:jc w:val="both"/>
        <w:rPr>
          <w:szCs w:val="24"/>
          <w:lang w:eastAsia="en-US"/>
        </w:rPr>
      </w:pPr>
      <w:r w:rsidRPr="00F60381">
        <w:rPr>
          <w:szCs w:val="24"/>
          <w:lang w:eastAsia="en-US"/>
        </w:rPr>
        <w:t xml:space="preserve">В случае заключения договора/соглашения/сделки о минимальном неснижаемом остатке денежных средств на расчетном счете, с указанием срока, суммы, процентов - Дата, в которую сумма процентов к получению может быть достоверно определена </w:t>
      </w:r>
    </w:p>
    <w:p w14:paraId="2DF64B48" w14:textId="77777777" w:rsidR="0063792A" w:rsidRPr="00F60381" w:rsidRDefault="0063792A" w:rsidP="0063792A">
      <w:pPr>
        <w:contextualSpacing/>
        <w:jc w:val="both"/>
        <w:rPr>
          <w:szCs w:val="24"/>
          <w:lang w:eastAsia="en-US"/>
        </w:rPr>
      </w:pPr>
    </w:p>
    <w:p w14:paraId="5CB2D4FB" w14:textId="77777777" w:rsidR="0063792A" w:rsidRPr="00F60381" w:rsidRDefault="0063792A" w:rsidP="00F60381">
      <w:pPr>
        <w:contextualSpacing/>
        <w:jc w:val="both"/>
        <w:rPr>
          <w:szCs w:val="24"/>
          <w:lang w:eastAsia="en-US"/>
        </w:rPr>
      </w:pPr>
      <w:r w:rsidRPr="00F60381">
        <w:rPr>
          <w:szCs w:val="24"/>
          <w:lang w:eastAsia="en-US"/>
        </w:rPr>
        <w:t xml:space="preserve">В случаях, если договор/соглашение по процентному доходу на остаток по счету не содержит условия, которые позволяют при каждом определении справедливой стоимости достоверно рассчитать сумму процентного дохода к получению или договор/соглашение о начислении процентов на остаток по счету предусматривает условия, при которых итоговая сумма процентов к получению может измениться - дата зачисления процентов  на соответствующий </w:t>
      </w:r>
      <w:r w:rsidRPr="00F60381">
        <w:rPr>
          <w:szCs w:val="24"/>
          <w:lang w:eastAsia="en-US"/>
        </w:rPr>
        <w:lastRenderedPageBreak/>
        <w:t>расчетный счет Фонда на основании выписки с указанного счета (в составе дебиторской задолженности не признается)</w:t>
      </w:r>
    </w:p>
    <w:p w14:paraId="6DC5F611" w14:textId="67DEF4AD" w:rsidR="00540B49" w:rsidRPr="005C3E39" w:rsidRDefault="00540B49" w:rsidP="00015160">
      <w:pPr>
        <w:pStyle w:val="12"/>
        <w:tabs>
          <w:tab w:val="left" w:pos="993"/>
        </w:tabs>
        <w:ind w:left="0"/>
        <w:jc w:val="both"/>
        <w:rPr>
          <w:color w:val="000000"/>
          <w:szCs w:val="24"/>
        </w:rPr>
      </w:pPr>
    </w:p>
    <w:p w14:paraId="6F5D7985" w14:textId="5C6AC864" w:rsidR="00540B49" w:rsidRPr="005C3E39" w:rsidRDefault="00540B49" w:rsidP="00015160">
      <w:pPr>
        <w:pStyle w:val="12"/>
        <w:tabs>
          <w:tab w:val="left" w:pos="993"/>
        </w:tabs>
        <w:ind w:left="0"/>
        <w:jc w:val="both"/>
        <w:rPr>
          <w:i/>
          <w:color w:val="000000"/>
          <w:szCs w:val="24"/>
          <w:u w:val="single"/>
        </w:rPr>
      </w:pPr>
      <w:r w:rsidRPr="005C3E39">
        <w:rPr>
          <w:i/>
          <w:color w:val="000000"/>
          <w:szCs w:val="24"/>
          <w:u w:val="single"/>
        </w:rPr>
        <w:t>Критерии прекращения признания</w:t>
      </w:r>
    </w:p>
    <w:p w14:paraId="07967B53" w14:textId="77777777" w:rsidR="00540B49" w:rsidRPr="005C3E39" w:rsidRDefault="00540B49" w:rsidP="00015160">
      <w:pPr>
        <w:pStyle w:val="12"/>
        <w:tabs>
          <w:tab w:val="left" w:pos="993"/>
        </w:tabs>
        <w:ind w:left="0"/>
        <w:jc w:val="both"/>
        <w:rPr>
          <w:color w:val="000000"/>
          <w:szCs w:val="24"/>
        </w:rPr>
      </w:pPr>
    </w:p>
    <w:p w14:paraId="1CE37C07" w14:textId="556273DE" w:rsidR="00540B49" w:rsidRPr="005C3E39" w:rsidRDefault="00540B49" w:rsidP="007B7481">
      <w:pPr>
        <w:contextualSpacing/>
        <w:jc w:val="both"/>
        <w:rPr>
          <w:szCs w:val="24"/>
          <w:lang w:eastAsia="en-US"/>
        </w:rPr>
      </w:pPr>
      <w:r w:rsidRPr="005C3E39">
        <w:rPr>
          <w:szCs w:val="24"/>
          <w:lang w:eastAsia="en-US"/>
        </w:rPr>
        <w:t>Дата исполнения кредитной организацией обязательств по выплате процентов на неснижаемый остаток по счету.</w:t>
      </w:r>
    </w:p>
    <w:p w14:paraId="3D0400B0" w14:textId="5D9B2F23" w:rsidR="00540B49" w:rsidRPr="005C3E39" w:rsidRDefault="00540B49" w:rsidP="00015160">
      <w:pPr>
        <w:pStyle w:val="12"/>
        <w:tabs>
          <w:tab w:val="left" w:pos="993"/>
        </w:tabs>
        <w:ind w:left="0"/>
        <w:jc w:val="both"/>
        <w:rPr>
          <w:color w:val="000000"/>
          <w:szCs w:val="24"/>
        </w:rPr>
      </w:pPr>
    </w:p>
    <w:p w14:paraId="256C2B55" w14:textId="77777777" w:rsidR="00540B49" w:rsidRPr="005C3E39" w:rsidRDefault="00540B49" w:rsidP="00015160">
      <w:pPr>
        <w:pStyle w:val="12"/>
        <w:tabs>
          <w:tab w:val="left" w:pos="993"/>
        </w:tabs>
        <w:ind w:left="0"/>
        <w:jc w:val="both"/>
        <w:rPr>
          <w:color w:val="000000"/>
          <w:szCs w:val="24"/>
        </w:rPr>
      </w:pPr>
    </w:p>
    <w:p w14:paraId="28077986" w14:textId="4B3419DD" w:rsidR="00540B49" w:rsidRPr="005C3E39" w:rsidRDefault="00540B49" w:rsidP="00540B49">
      <w:pPr>
        <w:pStyle w:val="a1"/>
        <w:numPr>
          <w:ilvl w:val="0"/>
          <w:numId w:val="0"/>
        </w:numPr>
        <w:ind w:left="426"/>
        <w:rPr>
          <w:b/>
          <w:i/>
        </w:rPr>
      </w:pPr>
      <w:r w:rsidRPr="005C3E39">
        <w:rPr>
          <w:i/>
        </w:rPr>
        <w:t xml:space="preserve">   </w:t>
      </w:r>
      <w:r w:rsidRPr="005C3E39">
        <w:rPr>
          <w:b/>
          <w:i/>
        </w:rPr>
        <w:t>Справедливая оценка</w:t>
      </w:r>
    </w:p>
    <w:p w14:paraId="0E4E68A7" w14:textId="77777777" w:rsidR="00540B49" w:rsidRPr="005C3E39" w:rsidRDefault="00540B49" w:rsidP="00540B49">
      <w:pPr>
        <w:pStyle w:val="a1"/>
        <w:numPr>
          <w:ilvl w:val="0"/>
          <w:numId w:val="0"/>
        </w:numPr>
        <w:ind w:left="426"/>
      </w:pPr>
    </w:p>
    <w:p w14:paraId="73ACDC30" w14:textId="6B3CB2B6" w:rsidR="00540B49" w:rsidRPr="005C3E39" w:rsidRDefault="00540B49" w:rsidP="00540B49">
      <w:pPr>
        <w:pStyle w:val="a1"/>
        <w:numPr>
          <w:ilvl w:val="0"/>
          <w:numId w:val="0"/>
        </w:numPr>
        <w:ind w:left="426"/>
      </w:pPr>
      <w:r w:rsidRPr="005C3E39">
        <w:t xml:space="preserve">      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на дату расчета СЧА,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14:paraId="128F0457" w14:textId="77777777" w:rsidR="00540B49" w:rsidRPr="005C3E39" w:rsidRDefault="00540B49" w:rsidP="00540B49">
      <w:pPr>
        <w:pStyle w:val="a1"/>
        <w:numPr>
          <w:ilvl w:val="0"/>
          <w:numId w:val="0"/>
        </w:numPr>
        <w:ind w:left="426"/>
      </w:pPr>
    </w:p>
    <w:p w14:paraId="18752E6F" w14:textId="77777777" w:rsidR="0063792A" w:rsidRDefault="00540B49" w:rsidP="0063792A">
      <w:pPr>
        <w:pStyle w:val="a1"/>
        <w:numPr>
          <w:ilvl w:val="0"/>
          <w:numId w:val="0"/>
        </w:numPr>
        <w:ind w:left="426"/>
      </w:pPr>
      <w:r w:rsidRPr="005C3E39">
        <w:t xml:space="preserve">        </w:t>
      </w:r>
    </w:p>
    <w:p w14:paraId="064B7932" w14:textId="77777777" w:rsidR="0063792A" w:rsidRPr="005C3E39" w:rsidRDefault="0063792A" w:rsidP="0063792A">
      <w:pPr>
        <w:pStyle w:val="a1"/>
        <w:numPr>
          <w:ilvl w:val="0"/>
          <w:numId w:val="0"/>
        </w:numPr>
        <w:ind w:left="426"/>
      </w:pPr>
      <w:r>
        <w:t xml:space="preserve">В иных случаях-в том числе, в </w:t>
      </w:r>
      <w:r w:rsidRPr="005C3E39">
        <w:t xml:space="preserve"> случае если на остаток денежных средств на расчетном счете банком начисляются проценты (в том числе по среднемесячному остатку), при этом ограничений на использование денежных средств не накладывается</w:t>
      </w:r>
      <w:r>
        <w:t xml:space="preserve"> и условия начисления не позволяют  </w:t>
      </w:r>
      <w:r w:rsidRPr="00545682">
        <w:t>достоверно рассчитать сумму процентного дохода к получению или договор/соглашение о начислении процентов на остаток по счету предусматривает условия, при которых итоговая сумма процентов к получению может измениться</w:t>
      </w:r>
      <w:r w:rsidRPr="005C3E39">
        <w:t xml:space="preserve"> такие проценты признаются в момент их зачисления банком на расчетный счет.</w:t>
      </w:r>
    </w:p>
    <w:p w14:paraId="49880716" w14:textId="2C8F4E82" w:rsidR="00540B49" w:rsidRPr="005C3E39" w:rsidRDefault="00540B49" w:rsidP="00540B49">
      <w:pPr>
        <w:pStyle w:val="a1"/>
        <w:numPr>
          <w:ilvl w:val="0"/>
          <w:numId w:val="0"/>
        </w:numPr>
        <w:ind w:left="426"/>
      </w:pPr>
    </w:p>
    <w:p w14:paraId="3F9E34A9" w14:textId="33571DE6" w:rsidR="00540B49" w:rsidRPr="005C3E39" w:rsidRDefault="00540B49" w:rsidP="00540B49">
      <w:pPr>
        <w:pStyle w:val="a1"/>
        <w:numPr>
          <w:ilvl w:val="0"/>
          <w:numId w:val="0"/>
        </w:numPr>
        <w:ind w:left="426"/>
      </w:pPr>
    </w:p>
    <w:p w14:paraId="3022C69D" w14:textId="412A4881" w:rsidR="00540B49" w:rsidRPr="005C3E39" w:rsidRDefault="00540B49" w:rsidP="00540B49">
      <w:pPr>
        <w:pStyle w:val="a1"/>
        <w:numPr>
          <w:ilvl w:val="0"/>
          <w:numId w:val="0"/>
        </w:numPr>
        <w:ind w:left="426"/>
      </w:pPr>
    </w:p>
    <w:p w14:paraId="0E2C640B" w14:textId="248E3B31" w:rsidR="00540B49" w:rsidRPr="005C3E39" w:rsidRDefault="00540B49" w:rsidP="00540B49">
      <w:pPr>
        <w:pStyle w:val="a1"/>
        <w:numPr>
          <w:ilvl w:val="0"/>
          <w:numId w:val="0"/>
        </w:numPr>
        <w:ind w:left="426"/>
        <w:rPr>
          <w:b/>
        </w:rPr>
      </w:pPr>
      <w:r w:rsidRPr="005C3E39">
        <w:rPr>
          <w:b/>
          <w:bCs/>
        </w:rPr>
        <w:t>Дебиторская задолженность по денежным средствам, находящимся у профессиональных участников рынка ценных бумаг (далее – брокер)</w:t>
      </w:r>
    </w:p>
    <w:p w14:paraId="13E924BE" w14:textId="4D296756" w:rsidR="00540B49" w:rsidRPr="005C3E39" w:rsidRDefault="00540B49" w:rsidP="00540B49">
      <w:pPr>
        <w:pStyle w:val="a1"/>
        <w:numPr>
          <w:ilvl w:val="0"/>
          <w:numId w:val="0"/>
        </w:numPr>
        <w:ind w:left="426"/>
      </w:pPr>
    </w:p>
    <w:p w14:paraId="486E1DBE" w14:textId="0DD03008" w:rsidR="00540B49" w:rsidRPr="005C3E39" w:rsidRDefault="00540B49" w:rsidP="00540B49">
      <w:pPr>
        <w:pStyle w:val="a1"/>
        <w:numPr>
          <w:ilvl w:val="0"/>
          <w:numId w:val="0"/>
        </w:numPr>
        <w:ind w:left="426"/>
      </w:pPr>
    </w:p>
    <w:p w14:paraId="5CEC6B5B" w14:textId="77777777" w:rsidR="00540B49" w:rsidRPr="005C3E39" w:rsidRDefault="00540B49" w:rsidP="00540B49">
      <w:pPr>
        <w:pStyle w:val="12"/>
        <w:tabs>
          <w:tab w:val="left" w:pos="993"/>
        </w:tabs>
        <w:ind w:left="0"/>
        <w:jc w:val="both"/>
        <w:rPr>
          <w:i/>
          <w:color w:val="000000"/>
          <w:szCs w:val="24"/>
          <w:u w:val="single"/>
        </w:rPr>
      </w:pPr>
      <w:r w:rsidRPr="005C3E39">
        <w:rPr>
          <w:i/>
          <w:color w:val="000000"/>
          <w:szCs w:val="24"/>
          <w:u w:val="single"/>
        </w:rPr>
        <w:t>Критерии признания</w:t>
      </w:r>
    </w:p>
    <w:p w14:paraId="06CF61ED" w14:textId="77777777" w:rsidR="00540B49" w:rsidRPr="005C3E39" w:rsidRDefault="00540B49" w:rsidP="00540B49">
      <w:pPr>
        <w:pStyle w:val="a1"/>
        <w:numPr>
          <w:ilvl w:val="0"/>
          <w:numId w:val="0"/>
        </w:numPr>
        <w:ind w:left="426"/>
      </w:pPr>
    </w:p>
    <w:p w14:paraId="6BAA41A7" w14:textId="7BC015C6" w:rsidR="00540B49" w:rsidRPr="005C3E39" w:rsidRDefault="00540B49" w:rsidP="00015160">
      <w:pPr>
        <w:pStyle w:val="12"/>
        <w:tabs>
          <w:tab w:val="left" w:pos="993"/>
        </w:tabs>
        <w:ind w:left="0"/>
        <w:jc w:val="both"/>
        <w:rPr>
          <w:bCs/>
          <w:sz w:val="22"/>
          <w:szCs w:val="22"/>
        </w:rPr>
      </w:pPr>
      <w:r w:rsidRPr="005C3E39">
        <w:rPr>
          <w:bCs/>
          <w:sz w:val="22"/>
          <w:szCs w:val="22"/>
        </w:rPr>
        <w:t>Дата зачисления денежных средств  на специальный брокерский счет на основании отчета брокера</w:t>
      </w:r>
    </w:p>
    <w:p w14:paraId="13103E99" w14:textId="713E3C2F" w:rsidR="00540B49" w:rsidRPr="005C3E39" w:rsidRDefault="00540B49" w:rsidP="00015160">
      <w:pPr>
        <w:pStyle w:val="12"/>
        <w:tabs>
          <w:tab w:val="left" w:pos="993"/>
        </w:tabs>
        <w:ind w:left="0"/>
        <w:jc w:val="both"/>
        <w:rPr>
          <w:color w:val="000000"/>
          <w:szCs w:val="24"/>
        </w:rPr>
      </w:pPr>
    </w:p>
    <w:p w14:paraId="3A64BABE" w14:textId="77777777" w:rsidR="00540B49" w:rsidRPr="005C3E39" w:rsidRDefault="00540B49" w:rsidP="00540B49">
      <w:pPr>
        <w:pStyle w:val="12"/>
        <w:tabs>
          <w:tab w:val="left" w:pos="993"/>
        </w:tabs>
        <w:ind w:left="0"/>
        <w:jc w:val="both"/>
        <w:rPr>
          <w:i/>
          <w:color w:val="000000"/>
          <w:szCs w:val="24"/>
          <w:u w:val="single"/>
        </w:rPr>
      </w:pPr>
      <w:r w:rsidRPr="005C3E39">
        <w:rPr>
          <w:i/>
          <w:color w:val="000000"/>
          <w:szCs w:val="24"/>
          <w:u w:val="single"/>
        </w:rPr>
        <w:t>Критерии прекращения признания</w:t>
      </w:r>
    </w:p>
    <w:p w14:paraId="7B97D7A6" w14:textId="345958DF" w:rsidR="00540B49" w:rsidRPr="005C3E39" w:rsidRDefault="00540B49" w:rsidP="00015160">
      <w:pPr>
        <w:pStyle w:val="12"/>
        <w:tabs>
          <w:tab w:val="left" w:pos="993"/>
        </w:tabs>
        <w:ind w:left="0"/>
        <w:jc w:val="both"/>
        <w:rPr>
          <w:color w:val="000000"/>
          <w:szCs w:val="24"/>
        </w:rPr>
      </w:pPr>
    </w:p>
    <w:p w14:paraId="61DBA0BE" w14:textId="77777777" w:rsidR="00540B49" w:rsidRPr="005C3E39" w:rsidRDefault="00540B49" w:rsidP="00540B49">
      <w:pPr>
        <w:contextualSpacing/>
        <w:jc w:val="both"/>
        <w:rPr>
          <w:bCs/>
          <w:sz w:val="22"/>
          <w:szCs w:val="22"/>
        </w:rPr>
      </w:pPr>
      <w:r w:rsidRPr="005C3E39">
        <w:rPr>
          <w:bCs/>
          <w:sz w:val="22"/>
          <w:szCs w:val="22"/>
        </w:rPr>
        <w:t>Дата исполнения брокером обязательств по перечислению денежных средств со специального брокерского счета.</w:t>
      </w:r>
    </w:p>
    <w:p w14:paraId="41B28AB1" w14:textId="77777777" w:rsidR="00540B49" w:rsidRPr="005C3E39" w:rsidRDefault="00540B49" w:rsidP="00540B49">
      <w:pPr>
        <w:contextualSpacing/>
        <w:jc w:val="both"/>
        <w:rPr>
          <w:bCs/>
          <w:sz w:val="22"/>
          <w:szCs w:val="22"/>
        </w:rPr>
      </w:pPr>
      <w:r w:rsidRPr="005C3E39">
        <w:rPr>
          <w:bCs/>
          <w:sz w:val="22"/>
          <w:szCs w:val="22"/>
        </w:rPr>
        <w:t>Дата решения Банка России об отзыве лицензии у брокера (денежные средства переходят в статус прочей дебиторской задолженности).</w:t>
      </w:r>
    </w:p>
    <w:p w14:paraId="62B33F66" w14:textId="455CD1AE" w:rsidR="00540B49" w:rsidRPr="005C3E39" w:rsidRDefault="00540B49" w:rsidP="00540B49">
      <w:pPr>
        <w:pStyle w:val="12"/>
        <w:tabs>
          <w:tab w:val="left" w:pos="993"/>
        </w:tabs>
        <w:ind w:left="0"/>
        <w:jc w:val="both"/>
        <w:rPr>
          <w:bCs/>
          <w:sz w:val="22"/>
          <w:szCs w:val="22"/>
        </w:rPr>
      </w:pPr>
      <w:r w:rsidRPr="005C3E39">
        <w:rPr>
          <w:bCs/>
          <w:sz w:val="22"/>
          <w:szCs w:val="22"/>
        </w:rPr>
        <w:t>Дата ликвидации брокера согласно информации, раскрытой в официальном доступном источнике (в том числе записи в ЕГРЮЛ о ликвидации брокера).</w:t>
      </w:r>
    </w:p>
    <w:p w14:paraId="14E4E511" w14:textId="2C348363" w:rsidR="00540B49" w:rsidRPr="005C3E39" w:rsidRDefault="00540B49" w:rsidP="00540B49">
      <w:pPr>
        <w:pStyle w:val="12"/>
        <w:tabs>
          <w:tab w:val="left" w:pos="993"/>
        </w:tabs>
        <w:ind w:left="0"/>
        <w:jc w:val="both"/>
        <w:rPr>
          <w:color w:val="000000"/>
          <w:szCs w:val="24"/>
        </w:rPr>
      </w:pPr>
    </w:p>
    <w:p w14:paraId="0F70AA41" w14:textId="704031D0" w:rsidR="00540B49" w:rsidRPr="005C3E39" w:rsidRDefault="00540B49" w:rsidP="00540B49">
      <w:pPr>
        <w:pStyle w:val="12"/>
        <w:tabs>
          <w:tab w:val="left" w:pos="993"/>
        </w:tabs>
        <w:ind w:left="0"/>
        <w:jc w:val="both"/>
        <w:rPr>
          <w:color w:val="000000"/>
          <w:szCs w:val="24"/>
        </w:rPr>
      </w:pPr>
    </w:p>
    <w:p w14:paraId="4BA3372A" w14:textId="77777777" w:rsidR="00F06771" w:rsidRPr="005C3E39" w:rsidRDefault="00F06771" w:rsidP="00F06771">
      <w:pPr>
        <w:spacing w:before="120" w:after="120" w:line="300" w:lineRule="auto"/>
        <w:ind w:firstLine="709"/>
        <w:jc w:val="both"/>
        <w:rPr>
          <w:szCs w:val="24"/>
        </w:rPr>
      </w:pPr>
      <w:r w:rsidRPr="005C3E39">
        <w:rPr>
          <w:b/>
          <w:i/>
          <w:szCs w:val="24"/>
        </w:rPr>
        <w:t>Справедливая стоимость денежных средств</w:t>
      </w:r>
      <w:r w:rsidRPr="005C3E39">
        <w:rPr>
          <w:i/>
          <w:szCs w:val="24"/>
        </w:rPr>
        <w:t xml:space="preserve">, </w:t>
      </w:r>
      <w:r w:rsidRPr="005C3E39">
        <w:rPr>
          <w:b/>
          <w:i/>
          <w:szCs w:val="24"/>
        </w:rPr>
        <w:t>находящихся у брокера</w:t>
      </w:r>
      <w:r w:rsidRPr="005C3E39">
        <w:rPr>
          <w:szCs w:val="24"/>
        </w:rPr>
        <w:t xml:space="preserve"> определяется в сумме остатка на специальном брокерском счете брокера.</w:t>
      </w:r>
    </w:p>
    <w:p w14:paraId="3B91226D" w14:textId="49E2840B" w:rsidR="00322399" w:rsidRPr="005C3E39" w:rsidRDefault="00322399" w:rsidP="00F06771">
      <w:pPr>
        <w:spacing w:before="120" w:after="120" w:line="300" w:lineRule="auto"/>
        <w:ind w:firstLine="709"/>
        <w:jc w:val="both"/>
        <w:rPr>
          <w:szCs w:val="24"/>
        </w:rPr>
      </w:pPr>
    </w:p>
    <w:p w14:paraId="505A4F5B" w14:textId="77777777" w:rsidR="00551E6E" w:rsidRPr="005C3E39" w:rsidRDefault="00322399" w:rsidP="007B7481">
      <w:pPr>
        <w:pStyle w:val="3"/>
        <w:rPr>
          <w:rFonts w:eastAsia="Calibri"/>
          <w:b w:val="0"/>
          <w:lang w:eastAsia="en-US"/>
        </w:rPr>
      </w:pPr>
      <w:r w:rsidRPr="005C3E39">
        <w:rPr>
          <w:rFonts w:eastAsia="Calibri"/>
          <w:lang w:eastAsia="en-US"/>
        </w:rPr>
        <w:lastRenderedPageBreak/>
        <w:t>Прочая дебиторская задолженность</w:t>
      </w:r>
      <w:r w:rsidRPr="005C3E39">
        <w:rPr>
          <w:rFonts w:eastAsia="Calibri"/>
          <w:b w:val="0"/>
          <w:lang w:eastAsia="en-US"/>
        </w:rPr>
        <w:t xml:space="preserve"> </w:t>
      </w:r>
    </w:p>
    <w:p w14:paraId="6CC094BA" w14:textId="465566F9" w:rsidR="00322399" w:rsidRPr="005C3E39" w:rsidRDefault="00322399" w:rsidP="007B7481">
      <w:pPr>
        <w:pStyle w:val="3"/>
        <w:rPr>
          <w:rFonts w:eastAsia="Calibri"/>
          <w:lang w:eastAsia="en-US"/>
        </w:rPr>
      </w:pPr>
      <w:r w:rsidRPr="005C3E39">
        <w:rPr>
          <w:rFonts w:eastAsia="Calibri"/>
          <w:b w:val="0"/>
          <w:u w:val="single"/>
          <w:lang w:eastAsia="en-US"/>
        </w:rPr>
        <w:t xml:space="preserve">(в т.ч. дебиторская задолженность,  возникшая в результате совершения сделок с имуществом ПИФ, по которым наступила наиболее ранняя дата расчетов; авансы, выданные за счет имущества ПИФ; дебиторская задолженность управляющей компании перед ПИФ; дебиторская задолженность, возникшая по договорам </w:t>
      </w:r>
      <w:r w:rsidR="009F0476">
        <w:rPr>
          <w:rFonts w:eastAsia="Calibri"/>
          <w:b w:val="0"/>
          <w:u w:val="single"/>
          <w:lang w:eastAsia="en-US"/>
        </w:rPr>
        <w:t xml:space="preserve">со </w:t>
      </w:r>
      <w:r w:rsidRPr="005C3E39">
        <w:rPr>
          <w:rFonts w:eastAsia="Calibri"/>
          <w:b w:val="0"/>
          <w:u w:val="single"/>
          <w:lang w:eastAsia="en-US"/>
        </w:rPr>
        <w:t>специализированным депозитарием, регистратором, указанными в правилах ДУ ПИФ; дебиторская задолженность по налогам, сборам, пошлинам в бюджеты всех уровней; дебиторская задолженность по возмещению суммы налогов из бюджета РФ</w:t>
      </w:r>
      <w:r w:rsidR="00F829D2" w:rsidRPr="005C3E39">
        <w:rPr>
          <w:rFonts w:eastAsia="Calibri"/>
          <w:b w:val="0"/>
          <w:u w:val="single"/>
          <w:lang w:eastAsia="en-US"/>
        </w:rPr>
        <w:t>,; дебиторская задолженность по денежным средствам «в пути»</w:t>
      </w:r>
      <w:r w:rsidRPr="005C3E39">
        <w:rPr>
          <w:rFonts w:eastAsia="Calibri"/>
          <w:lang w:eastAsia="en-US"/>
        </w:rPr>
        <w:t>)</w:t>
      </w:r>
    </w:p>
    <w:p w14:paraId="331695C3" w14:textId="6F9E4C09" w:rsidR="00322399" w:rsidRPr="005C3E39" w:rsidRDefault="00322399" w:rsidP="00322399">
      <w:pPr>
        <w:rPr>
          <w:rFonts w:eastAsia="Calibri"/>
          <w:lang w:eastAsia="en-US"/>
        </w:rPr>
      </w:pPr>
    </w:p>
    <w:p w14:paraId="26D7DBB3" w14:textId="42142131" w:rsidR="00322399" w:rsidRPr="005C3E39" w:rsidRDefault="00322399" w:rsidP="00322399">
      <w:pPr>
        <w:rPr>
          <w:rFonts w:eastAsia="Calibri"/>
          <w:lang w:eastAsia="en-US"/>
        </w:rPr>
      </w:pPr>
    </w:p>
    <w:p w14:paraId="194A335D" w14:textId="5E448862" w:rsidR="00322399" w:rsidRPr="005C3E39" w:rsidRDefault="00322399" w:rsidP="00322399">
      <w:pPr>
        <w:rPr>
          <w:rFonts w:eastAsia="Calibri"/>
          <w:i/>
          <w:u w:val="single"/>
          <w:lang w:eastAsia="en-US"/>
        </w:rPr>
      </w:pPr>
      <w:r w:rsidRPr="005C3E39">
        <w:rPr>
          <w:rFonts w:eastAsia="Calibri"/>
          <w:i/>
          <w:u w:val="single"/>
          <w:lang w:eastAsia="en-US"/>
        </w:rPr>
        <w:t>Критерии признания</w:t>
      </w:r>
    </w:p>
    <w:p w14:paraId="06310467" w14:textId="21828D01" w:rsidR="00322399" w:rsidRPr="005C3E39" w:rsidRDefault="00322399" w:rsidP="00322399">
      <w:pPr>
        <w:rPr>
          <w:rFonts w:eastAsia="Calibri"/>
          <w:b/>
          <w:u w:val="single"/>
          <w:lang w:eastAsia="en-US"/>
        </w:rPr>
      </w:pPr>
    </w:p>
    <w:p w14:paraId="7676A017" w14:textId="7622876F" w:rsidR="00322399" w:rsidRPr="005C3E39" w:rsidRDefault="00322399" w:rsidP="007B7481">
      <w:pPr>
        <w:pStyle w:val="aff3"/>
        <w:tabs>
          <w:tab w:val="num" w:pos="840"/>
        </w:tabs>
        <w:rPr>
          <w:rFonts w:eastAsia="Batang"/>
        </w:rPr>
      </w:pPr>
      <w:r w:rsidRPr="005C3E39">
        <w:rPr>
          <w:rFonts w:eastAsia="Batang"/>
        </w:rPr>
        <w:t>- Для дебиторской задолженности по возмещению суммы налогов из бюджета РФ – дата принятия НДС по работам и услугам к вычету;</w:t>
      </w:r>
    </w:p>
    <w:p w14:paraId="3FE8793B" w14:textId="5078FFA7" w:rsidR="00322399" w:rsidRPr="005C3E39" w:rsidRDefault="00322399" w:rsidP="007B7481">
      <w:pPr>
        <w:pStyle w:val="aff3"/>
        <w:tabs>
          <w:tab w:val="num" w:pos="840"/>
        </w:tabs>
        <w:rPr>
          <w:rFonts w:eastAsia="Batang"/>
        </w:rPr>
      </w:pPr>
      <w:r w:rsidRPr="005C3E39">
        <w:rPr>
          <w:rFonts w:eastAsia="Batang"/>
        </w:rPr>
        <w:t>- Для остальных видов активов - дата передачи активов (денежных средств) лицу, в отношении которого возникает дебиторская задолженность.</w:t>
      </w:r>
    </w:p>
    <w:p w14:paraId="286831F0" w14:textId="547FB568" w:rsidR="00322399" w:rsidRPr="005C3E39" w:rsidRDefault="00322399" w:rsidP="00322399">
      <w:pPr>
        <w:rPr>
          <w:rFonts w:eastAsia="Calibri"/>
          <w:b/>
          <w:u w:val="single"/>
          <w:lang w:eastAsia="en-US"/>
        </w:rPr>
      </w:pPr>
    </w:p>
    <w:p w14:paraId="425F42FA" w14:textId="44A8834E" w:rsidR="00322399" w:rsidRPr="005C3E39" w:rsidRDefault="00322399" w:rsidP="00322399">
      <w:pPr>
        <w:rPr>
          <w:rFonts w:eastAsia="Calibri"/>
          <w:i/>
          <w:u w:val="single"/>
          <w:lang w:eastAsia="en-US"/>
        </w:rPr>
      </w:pPr>
      <w:r w:rsidRPr="005C3E39">
        <w:rPr>
          <w:rFonts w:eastAsia="Calibri"/>
          <w:i/>
          <w:u w:val="single"/>
          <w:lang w:eastAsia="en-US"/>
        </w:rPr>
        <w:t>Критерии прекращения признания</w:t>
      </w:r>
    </w:p>
    <w:p w14:paraId="0FC217BD" w14:textId="24155D51" w:rsidR="00322399" w:rsidRPr="005C3E39" w:rsidRDefault="00322399" w:rsidP="00322399">
      <w:pPr>
        <w:rPr>
          <w:rFonts w:eastAsia="Calibri"/>
          <w:b/>
          <w:u w:val="single"/>
          <w:lang w:eastAsia="en-US"/>
        </w:rPr>
      </w:pPr>
    </w:p>
    <w:p w14:paraId="5878FD96" w14:textId="6B175E4F" w:rsidR="00322399" w:rsidRPr="005C3E39" w:rsidRDefault="00322399" w:rsidP="007B7481">
      <w:pPr>
        <w:pStyle w:val="aff3"/>
        <w:tabs>
          <w:tab w:val="num" w:pos="840"/>
        </w:tabs>
        <w:rPr>
          <w:rFonts w:eastAsia="Batang"/>
        </w:rPr>
      </w:pPr>
      <w:r w:rsidRPr="005C3E39">
        <w:rPr>
          <w:rFonts w:eastAsia="Batang"/>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14:paraId="34A55589" w14:textId="77777777" w:rsidR="00322399" w:rsidRPr="005C3E39" w:rsidRDefault="00322399" w:rsidP="007B7481">
      <w:pPr>
        <w:pStyle w:val="aff3"/>
        <w:tabs>
          <w:tab w:val="num" w:pos="840"/>
        </w:tabs>
        <w:rPr>
          <w:rFonts w:eastAsia="Batang"/>
        </w:rPr>
      </w:pPr>
      <w:r w:rsidRPr="005C3E39">
        <w:rPr>
          <w:rFonts w:eastAsia="Batang"/>
        </w:rPr>
        <w:t>Для остальных видов активов:</w:t>
      </w:r>
    </w:p>
    <w:p w14:paraId="45CF2DC7" w14:textId="77777777" w:rsidR="00322399" w:rsidRPr="005C3E39" w:rsidRDefault="00322399" w:rsidP="007B7481">
      <w:pPr>
        <w:pStyle w:val="aff3"/>
        <w:tabs>
          <w:tab w:val="num" w:pos="840"/>
        </w:tabs>
        <w:rPr>
          <w:rFonts w:eastAsia="Batang"/>
        </w:rPr>
      </w:pPr>
      <w:r w:rsidRPr="005C3E39">
        <w:rPr>
          <w:rFonts w:eastAsia="Batang"/>
        </w:rPr>
        <w:t>- Дата исполнения обязательств перед ПИФ, согласно договору;</w:t>
      </w:r>
    </w:p>
    <w:p w14:paraId="62A9B3FB" w14:textId="381C104C" w:rsidR="00322399" w:rsidRPr="005C3E39" w:rsidRDefault="00322399" w:rsidP="007B7481">
      <w:pPr>
        <w:pStyle w:val="aff3"/>
        <w:tabs>
          <w:tab w:val="num" w:pos="840"/>
        </w:tabs>
        <w:rPr>
          <w:rFonts w:eastAsia="Batang"/>
        </w:rPr>
      </w:pPr>
      <w:r w:rsidRPr="005C3E39">
        <w:rPr>
          <w:rFonts w:eastAsia="Batang"/>
        </w:rPr>
        <w:t>- Дата ликвидации заемщика согласно выписке из ЕГРЮЛ.</w:t>
      </w:r>
    </w:p>
    <w:p w14:paraId="247B73EE" w14:textId="3D095951" w:rsidR="00322399" w:rsidRPr="005C3E39" w:rsidRDefault="00322399" w:rsidP="00322399">
      <w:pPr>
        <w:rPr>
          <w:rFonts w:eastAsia="Calibri"/>
          <w:b/>
          <w:u w:val="single"/>
          <w:lang w:eastAsia="en-US"/>
        </w:rPr>
      </w:pPr>
    </w:p>
    <w:p w14:paraId="2AB45111" w14:textId="77777777" w:rsidR="00322399" w:rsidRPr="005C3E39" w:rsidRDefault="00322399" w:rsidP="00322399">
      <w:pPr>
        <w:rPr>
          <w:rFonts w:eastAsia="Calibri"/>
          <w:b/>
          <w:u w:val="single"/>
          <w:lang w:eastAsia="en-US"/>
        </w:rPr>
      </w:pPr>
    </w:p>
    <w:p w14:paraId="047C2CCA" w14:textId="77777777" w:rsidR="00322399" w:rsidRPr="005C3E39" w:rsidRDefault="00322399" w:rsidP="00322399">
      <w:pPr>
        <w:pStyle w:val="aff3"/>
        <w:tabs>
          <w:tab w:val="num" w:pos="840"/>
        </w:tabs>
        <w:rPr>
          <w:snapToGrid w:val="0"/>
        </w:rPr>
      </w:pPr>
      <w:r w:rsidRPr="005C3E39">
        <w:rPr>
          <w:rFonts w:eastAsia="Batang"/>
          <w:b/>
          <w:i/>
        </w:rPr>
        <w:t>Справедливая стоимость прочей дебиторской задолженности</w:t>
      </w:r>
      <w:r w:rsidRPr="005C3E39">
        <w:rPr>
          <w:rFonts w:eastAsia="Batang"/>
        </w:rPr>
        <w:t xml:space="preserve"> определяется в сумме остатка задолженности на дату определения СЧА по следующим видам задолженности:</w:t>
      </w:r>
    </w:p>
    <w:p w14:paraId="2ACEF7C8" w14:textId="77777777" w:rsidR="00322399" w:rsidRPr="005C3E39" w:rsidRDefault="00322399" w:rsidP="004872F3">
      <w:pPr>
        <w:pStyle w:val="12"/>
        <w:numPr>
          <w:ilvl w:val="0"/>
          <w:numId w:val="12"/>
        </w:numPr>
        <w:tabs>
          <w:tab w:val="left" w:pos="486"/>
        </w:tabs>
        <w:ind w:left="486"/>
        <w:jc w:val="both"/>
        <w:rPr>
          <w:rFonts w:eastAsia="Batang"/>
          <w:szCs w:val="24"/>
        </w:rPr>
      </w:pPr>
      <w:r w:rsidRPr="005C3E39">
        <w:rPr>
          <w:rFonts w:eastAsia="Batang"/>
          <w:szCs w:val="24"/>
        </w:rPr>
        <w:t>Для операционной дебиторской задолженности (Определение и классификация приведены в Приложении 7)</w:t>
      </w:r>
    </w:p>
    <w:p w14:paraId="05F75B59" w14:textId="77777777" w:rsidR="00322399" w:rsidRPr="005C3E39" w:rsidRDefault="00322399" w:rsidP="004872F3">
      <w:pPr>
        <w:pStyle w:val="12"/>
        <w:numPr>
          <w:ilvl w:val="0"/>
          <w:numId w:val="12"/>
        </w:numPr>
        <w:tabs>
          <w:tab w:val="left" w:pos="486"/>
        </w:tabs>
        <w:ind w:left="486"/>
        <w:jc w:val="both"/>
        <w:rPr>
          <w:rFonts w:eastAsia="Batang"/>
          <w:szCs w:val="24"/>
        </w:rPr>
      </w:pPr>
      <w:r w:rsidRPr="005C3E39">
        <w:rPr>
          <w:rFonts w:eastAsia="Batang"/>
          <w:szCs w:val="24"/>
        </w:rPr>
        <w:t>дебиторской задолженности по налогам, сборам, пошлинам в бюджеты всех уровней;</w:t>
      </w:r>
    </w:p>
    <w:p w14:paraId="7D781BCD" w14:textId="77777777" w:rsidR="00322399" w:rsidRPr="005C3E39" w:rsidRDefault="00322399" w:rsidP="004872F3">
      <w:pPr>
        <w:pStyle w:val="12"/>
        <w:numPr>
          <w:ilvl w:val="0"/>
          <w:numId w:val="12"/>
        </w:numPr>
        <w:tabs>
          <w:tab w:val="left" w:pos="486"/>
        </w:tabs>
        <w:ind w:left="486"/>
        <w:jc w:val="both"/>
        <w:rPr>
          <w:rFonts w:eastAsia="Batang"/>
          <w:szCs w:val="24"/>
        </w:rPr>
      </w:pPr>
      <w:r w:rsidRPr="005C3E39">
        <w:rPr>
          <w:rFonts w:eastAsia="Batang"/>
          <w:szCs w:val="24"/>
        </w:rPr>
        <w:t>дебиторской задолженности управляющей компании перед ПИФ, независимо от оснований ее признания;</w:t>
      </w:r>
    </w:p>
    <w:p w14:paraId="03CF89B4" w14:textId="555C26D6" w:rsidR="00322399" w:rsidRPr="005C3E39" w:rsidRDefault="00322399" w:rsidP="004872F3">
      <w:pPr>
        <w:pStyle w:val="12"/>
        <w:numPr>
          <w:ilvl w:val="0"/>
          <w:numId w:val="12"/>
        </w:numPr>
        <w:tabs>
          <w:tab w:val="left" w:pos="486"/>
        </w:tabs>
        <w:ind w:left="486"/>
        <w:jc w:val="both"/>
        <w:rPr>
          <w:rFonts w:eastAsia="Batang"/>
          <w:szCs w:val="24"/>
        </w:rPr>
      </w:pPr>
      <w:r w:rsidRPr="005C3E39">
        <w:rPr>
          <w:rFonts w:eastAsia="Batang"/>
          <w:szCs w:val="24"/>
        </w:rPr>
        <w:t xml:space="preserve">дебиторской задолженности, возникшей по договорам </w:t>
      </w:r>
      <w:r w:rsidR="009F0476">
        <w:rPr>
          <w:rFonts w:eastAsia="Batang"/>
          <w:szCs w:val="24"/>
        </w:rPr>
        <w:t>со</w:t>
      </w:r>
      <w:r w:rsidRPr="005C3E39">
        <w:rPr>
          <w:rFonts w:eastAsia="Batang"/>
          <w:szCs w:val="24"/>
        </w:rPr>
        <w:t>, специализированным депозитарием, лицом, осуществляющим ведение реестра владельцев инвестиционных паев, указанными в правилах доверительного управления ПИФ;</w:t>
      </w:r>
    </w:p>
    <w:p w14:paraId="4BE2662D" w14:textId="77777777" w:rsidR="00322399" w:rsidRPr="005C3E39" w:rsidRDefault="00322399" w:rsidP="004872F3">
      <w:pPr>
        <w:pStyle w:val="12"/>
        <w:numPr>
          <w:ilvl w:val="0"/>
          <w:numId w:val="12"/>
        </w:numPr>
        <w:tabs>
          <w:tab w:val="left" w:pos="486"/>
        </w:tabs>
        <w:ind w:left="486"/>
        <w:jc w:val="both"/>
        <w:rPr>
          <w:rFonts w:eastAsia="Batang"/>
          <w:szCs w:val="24"/>
        </w:rPr>
      </w:pPr>
      <w:r w:rsidRPr="005C3E39">
        <w:rPr>
          <w:rFonts w:eastAsia="Batang"/>
          <w:szCs w:val="24"/>
        </w:rPr>
        <w:t>дебиторской задолженности по возмещению суммы налогов из бюджета РФ;</w:t>
      </w:r>
    </w:p>
    <w:p w14:paraId="293D501D" w14:textId="77777777" w:rsidR="00F829D2" w:rsidRPr="005C3E39" w:rsidRDefault="00322399" w:rsidP="004872F3">
      <w:pPr>
        <w:pStyle w:val="12"/>
        <w:numPr>
          <w:ilvl w:val="0"/>
          <w:numId w:val="12"/>
        </w:numPr>
        <w:tabs>
          <w:tab w:val="left" w:pos="486"/>
        </w:tabs>
        <w:ind w:left="486"/>
        <w:contextualSpacing/>
        <w:jc w:val="both"/>
        <w:rPr>
          <w:rFonts w:eastAsia="Calibri"/>
          <w:b/>
          <w:szCs w:val="24"/>
          <w:lang w:eastAsia="en-US"/>
        </w:rPr>
      </w:pPr>
      <w:r w:rsidRPr="005C3E39">
        <w:rPr>
          <w:rFonts w:eastAsia="Calibri"/>
          <w:szCs w:val="24"/>
          <w:lang w:eastAsia="en-US"/>
        </w:rPr>
        <w:t>авансы, выданные за счет имущества Фонда.</w:t>
      </w:r>
    </w:p>
    <w:p w14:paraId="0E31A234" w14:textId="78B5B0BB" w:rsidR="00322399" w:rsidRPr="005C3E39" w:rsidRDefault="00322399" w:rsidP="004872F3">
      <w:pPr>
        <w:pStyle w:val="12"/>
        <w:numPr>
          <w:ilvl w:val="0"/>
          <w:numId w:val="12"/>
        </w:numPr>
        <w:tabs>
          <w:tab w:val="left" w:pos="486"/>
        </w:tabs>
        <w:ind w:left="486"/>
        <w:contextualSpacing/>
        <w:jc w:val="both"/>
        <w:rPr>
          <w:rFonts w:eastAsia="Calibri"/>
          <w:b/>
          <w:szCs w:val="24"/>
          <w:lang w:eastAsia="en-US"/>
        </w:rPr>
      </w:pPr>
      <w:r w:rsidRPr="005C3E39">
        <w:rPr>
          <w:rFonts w:eastAsia="Calibri"/>
          <w:szCs w:val="24"/>
          <w:lang w:eastAsia="en-US"/>
        </w:rPr>
        <w:t xml:space="preserve"> </w:t>
      </w:r>
      <w:r w:rsidR="00F829D2" w:rsidRPr="005C3E39">
        <w:rPr>
          <w:rFonts w:eastAsia="Calibri"/>
          <w:szCs w:val="24"/>
          <w:lang w:eastAsia="en-US"/>
        </w:rPr>
        <w:t>д</w:t>
      </w:r>
      <w:r w:rsidRPr="005C3E39">
        <w:t>ебиторская задолженность по денежным средствам «в пути».</w:t>
      </w:r>
    </w:p>
    <w:p w14:paraId="21284EB4" w14:textId="77777777" w:rsidR="00322399" w:rsidRPr="005C3E39" w:rsidRDefault="00322399" w:rsidP="00322399">
      <w:pPr>
        <w:pStyle w:val="a7"/>
        <w:spacing w:after="0" w:line="240" w:lineRule="auto"/>
        <w:ind w:left="0"/>
        <w:jc w:val="both"/>
        <w:rPr>
          <w:rFonts w:ascii="Times New Roman" w:hAnsi="Times New Roman"/>
          <w:sz w:val="24"/>
          <w:szCs w:val="24"/>
        </w:rPr>
      </w:pPr>
      <w:r w:rsidRPr="005C3E39">
        <w:rPr>
          <w:rFonts w:ascii="Times New Roman" w:hAnsi="Times New Roman"/>
          <w:sz w:val="24"/>
          <w:szCs w:val="24"/>
        </w:rPr>
        <w:t>Дебиторская задолженность по денежным средствам:</w:t>
      </w:r>
    </w:p>
    <w:p w14:paraId="22601081" w14:textId="77777777" w:rsidR="00322399" w:rsidRPr="005C3E39" w:rsidRDefault="00322399" w:rsidP="004872F3">
      <w:pPr>
        <w:pStyle w:val="a7"/>
        <w:numPr>
          <w:ilvl w:val="0"/>
          <w:numId w:val="10"/>
        </w:numPr>
        <w:spacing w:after="0" w:line="240" w:lineRule="auto"/>
        <w:jc w:val="both"/>
        <w:rPr>
          <w:rFonts w:ascii="Times New Roman" w:hAnsi="Times New Roman"/>
          <w:sz w:val="24"/>
          <w:szCs w:val="24"/>
        </w:rPr>
      </w:pPr>
      <w:r w:rsidRPr="005C3E39">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14:paraId="5A65F8C8" w14:textId="77777777" w:rsidR="00322399" w:rsidRPr="005C3E39" w:rsidRDefault="00322399" w:rsidP="004872F3">
      <w:pPr>
        <w:pStyle w:val="a7"/>
        <w:numPr>
          <w:ilvl w:val="0"/>
          <w:numId w:val="10"/>
        </w:numPr>
        <w:spacing w:after="0" w:line="240" w:lineRule="auto"/>
        <w:jc w:val="both"/>
        <w:rPr>
          <w:rFonts w:ascii="Times New Roman" w:hAnsi="Times New Roman"/>
          <w:sz w:val="24"/>
          <w:szCs w:val="24"/>
        </w:rPr>
      </w:pPr>
      <w:r w:rsidRPr="005C3E39">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14:paraId="1505FB48" w14:textId="77777777" w:rsidR="00322399" w:rsidRPr="005C3E39" w:rsidRDefault="00322399" w:rsidP="004872F3">
      <w:pPr>
        <w:pStyle w:val="a7"/>
        <w:numPr>
          <w:ilvl w:val="0"/>
          <w:numId w:val="10"/>
        </w:numPr>
        <w:spacing w:after="0" w:line="240" w:lineRule="auto"/>
        <w:jc w:val="both"/>
        <w:rPr>
          <w:rFonts w:ascii="Times New Roman" w:hAnsi="Times New Roman"/>
          <w:sz w:val="24"/>
          <w:szCs w:val="24"/>
        </w:rPr>
      </w:pPr>
      <w:r w:rsidRPr="005C3E39">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w:t>
      </w:r>
      <w:r w:rsidRPr="005C3E39">
        <w:rPr>
          <w:rFonts w:ascii="Times New Roman" w:hAnsi="Times New Roman"/>
          <w:sz w:val="24"/>
          <w:szCs w:val="24"/>
        </w:rPr>
        <w:lastRenderedPageBreak/>
        <w:t xml:space="preserve">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14:paraId="48B3D70D" w14:textId="77777777" w:rsidR="00F829D2" w:rsidRPr="005C3E39" w:rsidRDefault="00F829D2" w:rsidP="00322399">
      <w:pPr>
        <w:contextualSpacing/>
        <w:jc w:val="both"/>
        <w:rPr>
          <w:szCs w:val="24"/>
        </w:rPr>
      </w:pPr>
    </w:p>
    <w:p w14:paraId="22F71519" w14:textId="77777777" w:rsidR="00322399" w:rsidRPr="005C3E39" w:rsidRDefault="00322399" w:rsidP="00322399">
      <w:pPr>
        <w:pStyle w:val="a7"/>
        <w:spacing w:after="0" w:line="240" w:lineRule="auto"/>
        <w:ind w:left="0"/>
        <w:jc w:val="both"/>
        <w:rPr>
          <w:rFonts w:ascii="Times New Roman" w:hAnsi="Times New Roman"/>
          <w:sz w:val="24"/>
          <w:szCs w:val="24"/>
        </w:rPr>
      </w:pPr>
      <w:r w:rsidRPr="005C3E39">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14:paraId="7BF1357F" w14:textId="77777777" w:rsidR="00322399" w:rsidRPr="005C3E39" w:rsidRDefault="00322399" w:rsidP="00322399">
      <w:pPr>
        <w:pStyle w:val="a7"/>
        <w:spacing w:after="0" w:line="240" w:lineRule="auto"/>
        <w:ind w:left="0"/>
        <w:jc w:val="both"/>
        <w:rPr>
          <w:rFonts w:ascii="Times New Roman" w:hAnsi="Times New Roman"/>
          <w:sz w:val="24"/>
          <w:szCs w:val="24"/>
        </w:rPr>
      </w:pPr>
      <w:r w:rsidRPr="005C3E39">
        <w:rPr>
          <w:rFonts w:ascii="Times New Roman" w:hAnsi="Times New Roman"/>
          <w:sz w:val="24"/>
          <w:szCs w:val="24"/>
        </w:rPr>
        <w:t>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w:t>
      </w:r>
    </w:p>
    <w:p w14:paraId="459AF4C4" w14:textId="77777777" w:rsidR="00F829D2" w:rsidRPr="005C3E39" w:rsidRDefault="00F829D2" w:rsidP="00F829D2">
      <w:pPr>
        <w:contextualSpacing/>
        <w:jc w:val="both"/>
        <w:rPr>
          <w:rFonts w:eastAsia="Calibri"/>
          <w:szCs w:val="24"/>
          <w:lang w:eastAsia="en-US"/>
        </w:rPr>
      </w:pPr>
    </w:p>
    <w:p w14:paraId="09BDF858" w14:textId="2AD321C3" w:rsidR="00F829D2" w:rsidRPr="005C3E39" w:rsidRDefault="00F829D2" w:rsidP="00F829D2">
      <w:pPr>
        <w:contextualSpacing/>
        <w:jc w:val="both"/>
        <w:rPr>
          <w:rFonts w:eastAsia="Calibri"/>
          <w:szCs w:val="24"/>
          <w:lang w:eastAsia="en-US"/>
        </w:rPr>
      </w:pPr>
      <w:r w:rsidRPr="005C3E39">
        <w:rPr>
          <w:rFonts w:eastAsia="Calibri"/>
          <w:szCs w:val="24"/>
          <w:lang w:eastAsia="en-US"/>
        </w:rPr>
        <w:t xml:space="preserve">Превышение сроков погашения операционной дебиторской задолженности контрагентами ведет к обесценению в соответствии с процедурами, определяемыми Приложением </w:t>
      </w:r>
      <w:r w:rsidR="005C3E39" w:rsidRPr="005C3E39">
        <w:rPr>
          <w:rFonts w:eastAsia="Calibri"/>
          <w:szCs w:val="24"/>
          <w:lang w:eastAsia="en-US"/>
        </w:rPr>
        <w:t>2</w:t>
      </w:r>
      <w:r w:rsidRPr="005C3E39">
        <w:rPr>
          <w:rFonts w:eastAsia="Calibri"/>
          <w:szCs w:val="24"/>
          <w:lang w:eastAsia="en-US"/>
        </w:rPr>
        <w:t xml:space="preserve"> и Приложением </w:t>
      </w:r>
      <w:r w:rsidR="005C3E39" w:rsidRPr="005C3E39">
        <w:rPr>
          <w:rFonts w:eastAsia="Calibri"/>
          <w:szCs w:val="24"/>
          <w:lang w:eastAsia="en-US"/>
        </w:rPr>
        <w:t>3</w:t>
      </w:r>
      <w:r w:rsidRPr="005C3E39">
        <w:rPr>
          <w:rFonts w:eastAsia="Calibri"/>
          <w:szCs w:val="24"/>
          <w:lang w:eastAsia="en-US"/>
        </w:rPr>
        <w:t xml:space="preserve">. </w:t>
      </w:r>
    </w:p>
    <w:p w14:paraId="57ED106C" w14:textId="08998B8A" w:rsidR="00F829D2" w:rsidRPr="005C3E39" w:rsidRDefault="00F829D2" w:rsidP="00F829D2">
      <w:pPr>
        <w:ind w:firstLine="709"/>
        <w:contextualSpacing/>
        <w:jc w:val="both"/>
        <w:rPr>
          <w:rFonts w:eastAsia="Calibri"/>
          <w:szCs w:val="24"/>
          <w:lang w:eastAsia="en-US"/>
        </w:rPr>
      </w:pPr>
      <w:r w:rsidRPr="005C3E39">
        <w:rPr>
          <w:rFonts w:eastAsia="Calibri"/>
          <w:szCs w:val="24"/>
          <w:lang w:eastAsia="en-US"/>
        </w:rPr>
        <w:t xml:space="preserve"> </w:t>
      </w:r>
      <w:r w:rsidR="005C3E39" w:rsidRPr="005C3E39">
        <w:rPr>
          <w:rFonts w:eastAsia="Calibri"/>
          <w:szCs w:val="24"/>
          <w:lang w:eastAsia="en-US"/>
        </w:rPr>
        <w:t>В</w:t>
      </w:r>
      <w:r w:rsidRPr="005C3E39">
        <w:rPr>
          <w:rFonts w:eastAsia="Calibri"/>
          <w:szCs w:val="24"/>
          <w:lang w:eastAsia="en-US"/>
        </w:rPr>
        <w:t xml:space="preserve">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(Приложение </w:t>
      </w:r>
      <w:r w:rsidR="005C3E39" w:rsidRPr="005C3E39">
        <w:rPr>
          <w:rFonts w:eastAsia="Calibri"/>
          <w:szCs w:val="24"/>
          <w:lang w:eastAsia="en-US"/>
        </w:rPr>
        <w:t>1</w:t>
      </w:r>
      <w:r w:rsidRPr="005C3E39">
        <w:rPr>
          <w:rFonts w:eastAsia="Calibri"/>
          <w:szCs w:val="24"/>
          <w:lang w:eastAsia="en-US"/>
        </w:rPr>
        <w:t xml:space="preserve">) с использованием ставки дисконтирования ЭСП. </w:t>
      </w:r>
    </w:p>
    <w:p w14:paraId="11F068AD" w14:textId="4EEC5DAF" w:rsidR="00322399" w:rsidRPr="005C3E39" w:rsidRDefault="00322399" w:rsidP="00F06771">
      <w:pPr>
        <w:spacing w:before="120" w:after="120" w:line="300" w:lineRule="auto"/>
        <w:ind w:firstLine="709"/>
        <w:jc w:val="both"/>
        <w:rPr>
          <w:szCs w:val="24"/>
        </w:rPr>
      </w:pPr>
    </w:p>
    <w:p w14:paraId="5CD2DC30" w14:textId="77777777" w:rsidR="00322399" w:rsidRPr="005C3E39" w:rsidRDefault="00322399" w:rsidP="00F06771">
      <w:pPr>
        <w:spacing w:before="120" w:after="120" w:line="300" w:lineRule="auto"/>
        <w:ind w:firstLine="709"/>
        <w:jc w:val="both"/>
        <w:rPr>
          <w:szCs w:val="24"/>
        </w:rPr>
      </w:pPr>
    </w:p>
    <w:p w14:paraId="69C3ED39" w14:textId="77777777" w:rsidR="00540B49" w:rsidRPr="005C3E39" w:rsidRDefault="00540B49" w:rsidP="00540B49">
      <w:pPr>
        <w:pStyle w:val="12"/>
        <w:tabs>
          <w:tab w:val="left" w:pos="993"/>
        </w:tabs>
        <w:ind w:left="0"/>
        <w:jc w:val="both"/>
        <w:rPr>
          <w:color w:val="000000"/>
          <w:szCs w:val="24"/>
        </w:rPr>
      </w:pPr>
    </w:p>
    <w:p w14:paraId="3A329F4C" w14:textId="7C4A3996" w:rsidR="00524AFE" w:rsidRPr="005C3E39" w:rsidRDefault="00D22931" w:rsidP="0072342E">
      <w:pPr>
        <w:pStyle w:val="3"/>
        <w:rPr>
          <w:rFonts w:eastAsia="Calibri"/>
          <w:lang w:eastAsia="en-US"/>
        </w:rPr>
      </w:pPr>
      <w:bookmarkStart w:id="10" w:name="_Toc74043311"/>
      <w:r w:rsidRPr="005C3E39">
        <w:rPr>
          <w:rFonts w:eastAsia="Calibri"/>
          <w:lang w:eastAsia="en-US"/>
        </w:rPr>
        <w:t>Задолженности по с</w:t>
      </w:r>
      <w:r w:rsidR="00524AFE" w:rsidRPr="005C3E39">
        <w:rPr>
          <w:rFonts w:eastAsia="Calibri"/>
          <w:lang w:eastAsia="en-US"/>
        </w:rPr>
        <w:t>делк</w:t>
      </w:r>
      <w:r w:rsidRPr="005C3E39">
        <w:rPr>
          <w:rFonts w:eastAsia="Calibri"/>
          <w:lang w:eastAsia="en-US"/>
        </w:rPr>
        <w:t>ам</w:t>
      </w:r>
      <w:r w:rsidR="00524AFE" w:rsidRPr="005C3E39">
        <w:rPr>
          <w:rFonts w:eastAsia="Calibri"/>
          <w:lang w:eastAsia="en-US"/>
        </w:rPr>
        <w:t xml:space="preserve"> со сроком расчетов более Т0 (до даты расчетов)</w:t>
      </w:r>
      <w:bookmarkEnd w:id="10"/>
    </w:p>
    <w:p w14:paraId="05AAFA98" w14:textId="0B5C5DDC" w:rsidR="001E77A8" w:rsidRPr="005C3E39" w:rsidRDefault="001E77A8" w:rsidP="001E77A8">
      <w:pPr>
        <w:rPr>
          <w:rFonts w:eastAsia="Calibri"/>
          <w:lang w:eastAsia="en-US"/>
        </w:rPr>
      </w:pPr>
    </w:p>
    <w:p w14:paraId="718973B6" w14:textId="412903E8" w:rsidR="001E77A8" w:rsidRPr="005C3E39" w:rsidRDefault="001E77A8" w:rsidP="001E77A8">
      <w:pPr>
        <w:rPr>
          <w:rFonts w:eastAsia="Calibri"/>
          <w:lang w:eastAsia="en-US"/>
        </w:rPr>
      </w:pPr>
    </w:p>
    <w:p w14:paraId="5D87B8B7" w14:textId="364DEEC1" w:rsidR="001E77A8" w:rsidRPr="005C3E39" w:rsidRDefault="001E77A8" w:rsidP="001E77A8">
      <w:pPr>
        <w:rPr>
          <w:rFonts w:eastAsia="Calibri"/>
          <w:i/>
          <w:u w:val="single"/>
          <w:lang w:eastAsia="en-US"/>
        </w:rPr>
      </w:pPr>
      <w:r w:rsidRPr="005C3E39">
        <w:rPr>
          <w:rFonts w:eastAsia="Calibri"/>
          <w:i/>
          <w:u w:val="single"/>
          <w:lang w:eastAsia="en-US"/>
        </w:rPr>
        <w:t>Критерии признания</w:t>
      </w:r>
    </w:p>
    <w:p w14:paraId="66CD4491" w14:textId="6BCC6270" w:rsidR="00F829D2" w:rsidRPr="005C3E39" w:rsidRDefault="00F829D2" w:rsidP="001E77A8">
      <w:pPr>
        <w:rPr>
          <w:rFonts w:eastAsia="Calibri"/>
          <w:b/>
          <w:u w:val="single"/>
          <w:lang w:eastAsia="en-US"/>
        </w:rPr>
      </w:pPr>
    </w:p>
    <w:p w14:paraId="1AE954E1" w14:textId="56AA74E9" w:rsidR="00F829D2" w:rsidRPr="005C3E39" w:rsidRDefault="00F829D2" w:rsidP="007B7481">
      <w:pPr>
        <w:pStyle w:val="12"/>
        <w:tabs>
          <w:tab w:val="left" w:pos="993"/>
        </w:tabs>
        <w:ind w:left="0"/>
        <w:jc w:val="both"/>
        <w:rPr>
          <w:color w:val="000000"/>
          <w:szCs w:val="24"/>
        </w:rPr>
      </w:pPr>
      <w:r w:rsidRPr="005C3E39">
        <w:rPr>
          <w:color w:val="000000"/>
          <w:szCs w:val="24"/>
        </w:rPr>
        <w:t>Дата  заключения  договора  по приобретению(реализации) ценных бумаг и покупке/продаже валюты.</w:t>
      </w:r>
    </w:p>
    <w:p w14:paraId="6453F286" w14:textId="038BDD65" w:rsidR="00F829D2" w:rsidRPr="005C3E39" w:rsidRDefault="00F829D2" w:rsidP="001E77A8">
      <w:pPr>
        <w:rPr>
          <w:rFonts w:eastAsia="Calibri"/>
          <w:b/>
          <w:u w:val="single"/>
          <w:lang w:eastAsia="en-US"/>
        </w:rPr>
      </w:pPr>
    </w:p>
    <w:p w14:paraId="27B90F95" w14:textId="6F137E55" w:rsidR="00F829D2" w:rsidRPr="005C3E39" w:rsidRDefault="00F829D2" w:rsidP="001E77A8">
      <w:pPr>
        <w:rPr>
          <w:rFonts w:eastAsia="Calibri"/>
          <w:i/>
          <w:u w:val="single"/>
          <w:lang w:eastAsia="en-US"/>
        </w:rPr>
      </w:pPr>
      <w:r w:rsidRPr="005C3E39">
        <w:rPr>
          <w:rFonts w:eastAsia="Calibri"/>
          <w:i/>
          <w:u w:val="single"/>
          <w:lang w:eastAsia="en-US"/>
        </w:rPr>
        <w:t>Критерии прекращения признания</w:t>
      </w:r>
    </w:p>
    <w:p w14:paraId="59E2821B" w14:textId="61A63021" w:rsidR="00F829D2" w:rsidRPr="005C3E39" w:rsidRDefault="00F829D2" w:rsidP="001E77A8">
      <w:pPr>
        <w:rPr>
          <w:rFonts w:eastAsia="Calibri"/>
          <w:b/>
          <w:u w:val="single"/>
          <w:lang w:eastAsia="en-US"/>
        </w:rPr>
      </w:pPr>
    </w:p>
    <w:p w14:paraId="2DD62170" w14:textId="77777777" w:rsidR="00F829D2" w:rsidRPr="005C3E39" w:rsidRDefault="00F829D2" w:rsidP="007B7481">
      <w:pPr>
        <w:pStyle w:val="12"/>
        <w:tabs>
          <w:tab w:val="left" w:pos="993"/>
        </w:tabs>
        <w:ind w:left="0"/>
        <w:jc w:val="both"/>
        <w:rPr>
          <w:color w:val="000000"/>
          <w:szCs w:val="24"/>
        </w:rPr>
      </w:pPr>
      <w:r w:rsidRPr="005C3E39">
        <w:rPr>
          <w:color w:val="000000"/>
          <w:szCs w:val="24"/>
        </w:rPr>
        <w:t>Дата исполнения обязательств согласно сделке.</w:t>
      </w:r>
    </w:p>
    <w:p w14:paraId="3F915886" w14:textId="0ACD9B1C" w:rsidR="00F829D2" w:rsidRPr="005C3E39" w:rsidRDefault="00F829D2" w:rsidP="007B7481">
      <w:pPr>
        <w:pStyle w:val="12"/>
        <w:tabs>
          <w:tab w:val="left" w:pos="993"/>
        </w:tabs>
        <w:ind w:left="0"/>
        <w:jc w:val="both"/>
        <w:rPr>
          <w:color w:val="000000"/>
          <w:szCs w:val="24"/>
        </w:rPr>
      </w:pPr>
      <w:r w:rsidRPr="005C3E39">
        <w:rPr>
          <w:color w:val="000000"/>
          <w:szCs w:val="24"/>
        </w:rPr>
        <w:t>Дата ликвидации лица, которым  не исполнены обязательства по договору с Фондом (согласно выписке из ЕГРЮЛ).</w:t>
      </w:r>
    </w:p>
    <w:p w14:paraId="18FA5FAF" w14:textId="64105D81" w:rsidR="001E77A8" w:rsidRPr="005C3E39" w:rsidRDefault="001E77A8" w:rsidP="001E77A8">
      <w:pPr>
        <w:rPr>
          <w:rFonts w:eastAsia="Calibri"/>
          <w:lang w:eastAsia="en-US"/>
        </w:rPr>
      </w:pPr>
    </w:p>
    <w:p w14:paraId="62E00351" w14:textId="77777777" w:rsidR="00F829D2" w:rsidRPr="005C3E39" w:rsidRDefault="00F829D2" w:rsidP="007B7481">
      <w:pPr>
        <w:rPr>
          <w:rFonts w:eastAsia="Calibri"/>
          <w:lang w:eastAsia="en-US"/>
        </w:rPr>
      </w:pPr>
    </w:p>
    <w:p w14:paraId="4315E7B9" w14:textId="5AB8C9AC" w:rsidR="0028663A" w:rsidRPr="005C3E39" w:rsidRDefault="00A675EE" w:rsidP="0072342E">
      <w:pPr>
        <w:pStyle w:val="12"/>
        <w:tabs>
          <w:tab w:val="left" w:pos="993"/>
        </w:tabs>
        <w:ind w:left="0"/>
        <w:jc w:val="both"/>
        <w:rPr>
          <w:color w:val="000000"/>
          <w:szCs w:val="24"/>
        </w:rPr>
      </w:pPr>
      <w:r w:rsidRPr="005C3E39">
        <w:rPr>
          <w:rFonts w:eastAsia="Batang"/>
          <w:color w:val="000000"/>
          <w:szCs w:val="24"/>
        </w:rPr>
        <w:t xml:space="preserve">     </w:t>
      </w:r>
      <w:r w:rsidR="0028663A" w:rsidRPr="005C3E39">
        <w:rPr>
          <w:b/>
          <w:i/>
          <w:color w:val="000000"/>
          <w:szCs w:val="24"/>
        </w:rPr>
        <w:t>Справедливая стоимость задолженност</w:t>
      </w:r>
      <w:r w:rsidR="00F829D2" w:rsidRPr="005C3E39">
        <w:rPr>
          <w:b/>
          <w:i/>
          <w:color w:val="000000"/>
          <w:szCs w:val="24"/>
        </w:rPr>
        <w:t>и</w:t>
      </w:r>
      <w:r w:rsidR="0028663A" w:rsidRPr="005C3E39">
        <w:rPr>
          <w:color w:val="000000"/>
          <w:szCs w:val="24"/>
        </w:rPr>
        <w:t xml:space="preserve"> по сделкам с ценными бумагами, заключенным на условиях Т+ определяется в размере разницы между справедливой стоимостью ценной бумаги</w:t>
      </w:r>
      <w:r w:rsidR="009F0476">
        <w:rPr>
          <w:color w:val="000000"/>
          <w:szCs w:val="24"/>
        </w:rPr>
        <w:t xml:space="preserve"> (без учета НКД)</w:t>
      </w:r>
      <w:r w:rsidR="0028663A" w:rsidRPr="005C3E39">
        <w:rPr>
          <w:color w:val="000000"/>
          <w:szCs w:val="24"/>
        </w:rPr>
        <w:t xml:space="preserve">, являющейся предметом сделки и суммой сделки </w:t>
      </w:r>
      <w:r w:rsidR="009F0476">
        <w:rPr>
          <w:color w:val="000000"/>
          <w:szCs w:val="24"/>
        </w:rPr>
        <w:t>(без учета НКД)</w:t>
      </w:r>
      <w:r w:rsidR="0028663A" w:rsidRPr="005C3E39">
        <w:rPr>
          <w:color w:val="000000"/>
          <w:szCs w:val="24"/>
        </w:rPr>
        <w:t>в валюте сделки, приведенной к рублю по текущему курсу валюты.</w:t>
      </w:r>
      <w:r w:rsidR="009F0476" w:rsidRPr="009F0476">
        <w:rPr>
          <w:color w:val="000000"/>
          <w:szCs w:val="24"/>
        </w:rPr>
        <w:t xml:space="preserve"> </w:t>
      </w:r>
      <w:r w:rsidR="009F0476">
        <w:rPr>
          <w:color w:val="000000"/>
          <w:szCs w:val="24"/>
        </w:rPr>
        <w:t>При этом, если в период с даты заключения сделки до даты исполнения произошло изменение номинала ценной бумаги (амортизация долга, конвертация и т.д.) и данное изменение учтено в сумме сделки, то при определении справедливой стоимости</w:t>
      </w:r>
      <w:r w:rsidR="009F0476">
        <w:rPr>
          <w:b/>
          <w:color w:val="365F91" w:themeColor="accent1" w:themeShade="BF"/>
          <w:szCs w:val="24"/>
          <w:lang w:eastAsia="en-US"/>
        </w:rPr>
        <w:t xml:space="preserve"> </w:t>
      </w:r>
      <w:r w:rsidR="009F0476">
        <w:rPr>
          <w:color w:val="000000"/>
          <w:szCs w:val="24"/>
        </w:rPr>
        <w:t>ценной бумаги учитывается данное изменение с даты заключения сделки</w:t>
      </w:r>
    </w:p>
    <w:p w14:paraId="3A677821" w14:textId="77777777" w:rsidR="0028663A" w:rsidRPr="005C3E39" w:rsidRDefault="00A675EE" w:rsidP="0072342E">
      <w:pPr>
        <w:pStyle w:val="12"/>
        <w:tabs>
          <w:tab w:val="left" w:pos="993"/>
        </w:tabs>
        <w:ind w:left="0"/>
        <w:jc w:val="both"/>
        <w:rPr>
          <w:color w:val="000000"/>
          <w:szCs w:val="24"/>
        </w:rPr>
      </w:pPr>
      <w:r w:rsidRPr="005C3E39">
        <w:rPr>
          <w:color w:val="000000"/>
          <w:szCs w:val="24"/>
        </w:rPr>
        <w:t xml:space="preserve">      </w:t>
      </w:r>
      <w:r w:rsidR="0028663A" w:rsidRPr="005C3E39">
        <w:rPr>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14:paraId="2E784E40" w14:textId="77777777" w:rsidR="00CF1026" w:rsidRPr="005C3E39" w:rsidRDefault="00A675EE" w:rsidP="0072342E">
      <w:pPr>
        <w:pStyle w:val="12"/>
        <w:tabs>
          <w:tab w:val="left" w:pos="993"/>
        </w:tabs>
        <w:ind w:left="0"/>
        <w:jc w:val="both"/>
        <w:rPr>
          <w:color w:val="000000"/>
          <w:szCs w:val="24"/>
        </w:rPr>
      </w:pPr>
      <w:r w:rsidRPr="005C3E39">
        <w:rPr>
          <w:color w:val="000000"/>
          <w:szCs w:val="24"/>
        </w:rPr>
        <w:lastRenderedPageBreak/>
        <w:t xml:space="preserve">      </w:t>
      </w:r>
      <w:r w:rsidR="0028663A" w:rsidRPr="005C3E39">
        <w:rPr>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w:t>
      </w:r>
    </w:p>
    <w:p w14:paraId="585EB2EF" w14:textId="77777777" w:rsidR="0028663A" w:rsidRPr="005C3E39" w:rsidRDefault="00CF1026" w:rsidP="0072342E">
      <w:pPr>
        <w:pStyle w:val="12"/>
        <w:tabs>
          <w:tab w:val="left" w:pos="993"/>
        </w:tabs>
        <w:ind w:left="0"/>
        <w:jc w:val="both"/>
        <w:rPr>
          <w:color w:val="000000"/>
          <w:szCs w:val="24"/>
        </w:rPr>
      </w:pPr>
      <w:r w:rsidRPr="005C3E39">
        <w:rPr>
          <w:color w:val="000000"/>
          <w:szCs w:val="24"/>
        </w:rPr>
        <w:t xml:space="preserve">      </w:t>
      </w:r>
      <w:r w:rsidR="0028663A" w:rsidRPr="005C3E39">
        <w:rPr>
          <w:color w:val="000000"/>
          <w:szCs w:val="24"/>
        </w:rPr>
        <w:t xml:space="preserve">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14:paraId="440351D1" w14:textId="77777777" w:rsidR="0028663A" w:rsidRPr="005C3E39" w:rsidRDefault="00A675EE" w:rsidP="0072342E">
      <w:pPr>
        <w:pStyle w:val="12"/>
        <w:tabs>
          <w:tab w:val="left" w:pos="993"/>
        </w:tabs>
        <w:ind w:left="0"/>
        <w:jc w:val="both"/>
        <w:rPr>
          <w:color w:val="000000"/>
          <w:szCs w:val="24"/>
        </w:rPr>
      </w:pPr>
      <w:r w:rsidRPr="005C3E39">
        <w:rPr>
          <w:color w:val="000000"/>
          <w:szCs w:val="24"/>
        </w:rPr>
        <w:t xml:space="preserve">    </w:t>
      </w:r>
      <w:r w:rsidR="0028663A" w:rsidRPr="005C3E39">
        <w:rPr>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14:paraId="4E669458" w14:textId="77777777" w:rsidR="0028663A" w:rsidRPr="005C3E39" w:rsidRDefault="00A675EE" w:rsidP="0072342E">
      <w:pPr>
        <w:pStyle w:val="12"/>
        <w:tabs>
          <w:tab w:val="left" w:pos="993"/>
        </w:tabs>
        <w:ind w:left="0"/>
        <w:jc w:val="both"/>
        <w:rPr>
          <w:color w:val="000000"/>
          <w:szCs w:val="24"/>
        </w:rPr>
      </w:pPr>
      <w:r w:rsidRPr="005C3E39">
        <w:rPr>
          <w:color w:val="000000"/>
          <w:szCs w:val="24"/>
        </w:rPr>
        <w:t xml:space="preserve">     </w:t>
      </w:r>
      <w:r w:rsidR="0028663A" w:rsidRPr="005C3E39">
        <w:rPr>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14:paraId="5055D081" w14:textId="1CA70383" w:rsidR="000B7AE6" w:rsidRPr="005C3E39" w:rsidRDefault="000B7AE6" w:rsidP="0072342E">
      <w:pPr>
        <w:pStyle w:val="12"/>
        <w:tabs>
          <w:tab w:val="left" w:pos="993"/>
        </w:tabs>
        <w:ind w:left="0"/>
        <w:jc w:val="both"/>
        <w:rPr>
          <w:color w:val="000000"/>
          <w:szCs w:val="24"/>
        </w:rPr>
      </w:pPr>
      <w:r w:rsidRPr="005C3E39">
        <w:rPr>
          <w:color w:val="000000"/>
          <w:szCs w:val="24"/>
        </w:rPr>
        <w:t xml:space="preserve">    </w:t>
      </w:r>
    </w:p>
    <w:p w14:paraId="072CCB38" w14:textId="77777777" w:rsidR="00D929E1" w:rsidRPr="005C3E39" w:rsidRDefault="00D929E1" w:rsidP="0072342E">
      <w:pPr>
        <w:pStyle w:val="12"/>
        <w:tabs>
          <w:tab w:val="left" w:pos="993"/>
        </w:tabs>
        <w:ind w:left="0"/>
        <w:jc w:val="both"/>
        <w:rPr>
          <w:color w:val="000000"/>
          <w:szCs w:val="24"/>
        </w:rPr>
      </w:pPr>
      <w:r w:rsidRPr="005C3E39">
        <w:rPr>
          <w:color w:val="000000"/>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14:paraId="5C7CDB77" w14:textId="77777777" w:rsidR="00D929E1" w:rsidRPr="005C3E39" w:rsidRDefault="00D929E1" w:rsidP="0072342E">
      <w:pPr>
        <w:pStyle w:val="12"/>
        <w:tabs>
          <w:tab w:val="left" w:pos="993"/>
        </w:tabs>
        <w:ind w:left="0"/>
        <w:jc w:val="both"/>
        <w:rPr>
          <w:color w:val="000000"/>
          <w:szCs w:val="24"/>
        </w:rPr>
      </w:pPr>
      <w:r w:rsidRPr="005C3E39">
        <w:rPr>
          <w:color w:val="000000"/>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14:paraId="5676BCBA" w14:textId="77777777" w:rsidR="00E37F4F" w:rsidRPr="005C3E39" w:rsidRDefault="00E37F4F" w:rsidP="0072342E">
      <w:pPr>
        <w:contextualSpacing/>
        <w:jc w:val="both"/>
        <w:rPr>
          <w:rFonts w:eastAsia="Calibri"/>
          <w:b/>
          <w:szCs w:val="24"/>
          <w:lang w:eastAsia="en-US"/>
        </w:rPr>
      </w:pPr>
    </w:p>
    <w:p w14:paraId="24330530" w14:textId="77777777" w:rsidR="00E809D8" w:rsidRPr="005C3E39" w:rsidRDefault="00E809D8" w:rsidP="0072342E">
      <w:pPr>
        <w:contextualSpacing/>
        <w:jc w:val="both"/>
        <w:rPr>
          <w:rFonts w:eastAsia="Calibri"/>
          <w:b/>
          <w:szCs w:val="24"/>
          <w:lang w:eastAsia="en-US"/>
        </w:rPr>
      </w:pPr>
    </w:p>
    <w:p w14:paraId="29423D0B" w14:textId="351ABE03" w:rsidR="00524AFE" w:rsidRPr="005C3E39" w:rsidRDefault="002451D8" w:rsidP="0072342E">
      <w:pPr>
        <w:pStyle w:val="2"/>
        <w:rPr>
          <w:rFonts w:eastAsia="Calibri"/>
          <w:lang w:eastAsia="en-US"/>
        </w:rPr>
      </w:pPr>
      <w:bookmarkStart w:id="11" w:name="_Toc74043316"/>
      <w:r w:rsidRPr="005C3E39">
        <w:rPr>
          <w:rFonts w:eastAsia="Calibri"/>
          <w:lang w:eastAsia="en-US"/>
        </w:rPr>
        <w:t>Прочая к</w:t>
      </w:r>
      <w:r w:rsidR="00524AFE" w:rsidRPr="005C3E39">
        <w:rPr>
          <w:rFonts w:eastAsia="Calibri"/>
          <w:lang w:eastAsia="en-US"/>
        </w:rPr>
        <w:t>редиторская задолженность.</w:t>
      </w:r>
      <w:bookmarkEnd w:id="11"/>
    </w:p>
    <w:p w14:paraId="318703D6" w14:textId="23AAEF40" w:rsidR="0063438F" w:rsidRPr="005C3E39" w:rsidRDefault="0063438F" w:rsidP="0063438F">
      <w:pPr>
        <w:rPr>
          <w:rFonts w:eastAsia="Calibri"/>
          <w:lang w:eastAsia="en-US"/>
        </w:rPr>
      </w:pPr>
    </w:p>
    <w:p w14:paraId="6FA9412A" w14:textId="7CBED6D1" w:rsidR="0063438F" w:rsidRPr="005C3E39" w:rsidRDefault="0063438F" w:rsidP="0063438F">
      <w:pPr>
        <w:rPr>
          <w:rFonts w:eastAsia="Calibri"/>
          <w:i/>
          <w:u w:val="single"/>
          <w:lang w:eastAsia="en-US"/>
        </w:rPr>
      </w:pPr>
      <w:r w:rsidRPr="005C3E39">
        <w:rPr>
          <w:rFonts w:eastAsia="Calibri"/>
          <w:i/>
          <w:u w:val="single"/>
          <w:lang w:eastAsia="en-US"/>
        </w:rPr>
        <w:t>Критерии признания</w:t>
      </w:r>
    </w:p>
    <w:p w14:paraId="4043FDFF" w14:textId="1DB581D1" w:rsidR="0063438F" w:rsidRPr="005C3E39" w:rsidRDefault="0063438F" w:rsidP="0063438F">
      <w:pPr>
        <w:rPr>
          <w:rFonts w:eastAsia="Calibri"/>
          <w:lang w:eastAsia="en-US"/>
        </w:rPr>
      </w:pPr>
    </w:p>
    <w:p w14:paraId="1657F26E" w14:textId="3732BA8E" w:rsidR="0063438F" w:rsidRPr="005C3E39" w:rsidRDefault="0063438F" w:rsidP="0063438F">
      <w:pPr>
        <w:jc w:val="both"/>
        <w:rPr>
          <w:szCs w:val="24"/>
        </w:rPr>
      </w:pPr>
      <w:r w:rsidRPr="005C3E39">
        <w:rPr>
          <w:szCs w:val="24"/>
        </w:rPr>
        <w:t xml:space="preserve">- </w:t>
      </w:r>
      <w:r w:rsidRPr="005C3E39">
        <w:rPr>
          <w:rFonts w:hint="eastAsia"/>
          <w:szCs w:val="24"/>
        </w:rPr>
        <w:t>Кредиторская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выдаче</w:t>
      </w:r>
      <w:r w:rsidRPr="005C3E39">
        <w:rPr>
          <w:szCs w:val="24"/>
        </w:rPr>
        <w:t xml:space="preserve"> </w:t>
      </w:r>
      <w:r w:rsidRPr="005C3E39">
        <w:rPr>
          <w:rFonts w:hint="eastAsia"/>
          <w:szCs w:val="24"/>
        </w:rPr>
        <w:t>инвестиционных</w:t>
      </w:r>
      <w:r w:rsidRPr="005C3E39">
        <w:rPr>
          <w:szCs w:val="24"/>
        </w:rPr>
        <w:t xml:space="preserve"> </w:t>
      </w:r>
      <w:r w:rsidRPr="005C3E39">
        <w:rPr>
          <w:rFonts w:hint="eastAsia"/>
          <w:szCs w:val="24"/>
        </w:rPr>
        <w:t>паев</w:t>
      </w:r>
      <w:r w:rsidRPr="005C3E39">
        <w:rPr>
          <w:szCs w:val="24"/>
        </w:rPr>
        <w:t xml:space="preserve"> </w:t>
      </w:r>
      <w:r w:rsidRPr="005C3E39">
        <w:rPr>
          <w:rFonts w:hint="eastAsia"/>
          <w:szCs w:val="24"/>
        </w:rPr>
        <w:t>Фонд</w:t>
      </w:r>
      <w:r w:rsidRPr="005C3E39">
        <w:rPr>
          <w:szCs w:val="24"/>
        </w:rPr>
        <w:t>-</w:t>
      </w:r>
      <w:r w:rsidR="007C0B50" w:rsidRPr="005C3E39">
        <w:rPr>
          <w:szCs w:val="24"/>
        </w:rPr>
        <w:t>д</w:t>
      </w:r>
      <w:r w:rsidRPr="005C3E39">
        <w:rPr>
          <w:szCs w:val="24"/>
        </w:rPr>
        <w:t>ата включения денежных средств (иного имущества), переданных в оплату инвестиционных паев, в имущество Фонда;</w:t>
      </w:r>
    </w:p>
    <w:p w14:paraId="46FC116B" w14:textId="77777777" w:rsidR="0063438F" w:rsidRPr="005C3E39" w:rsidRDefault="0063438F" w:rsidP="0063438F">
      <w:pPr>
        <w:jc w:val="both"/>
        <w:rPr>
          <w:szCs w:val="24"/>
        </w:rPr>
      </w:pPr>
      <w:r w:rsidRPr="005C3E39">
        <w:rPr>
          <w:szCs w:val="24"/>
        </w:rPr>
        <w:t xml:space="preserve">- </w:t>
      </w:r>
      <w:r w:rsidRPr="005C3E39">
        <w:rPr>
          <w:rFonts w:hint="eastAsia"/>
          <w:szCs w:val="24"/>
        </w:rPr>
        <w:t>Кредиторская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выплате</w:t>
      </w:r>
      <w:r w:rsidRPr="005C3E39">
        <w:rPr>
          <w:szCs w:val="24"/>
        </w:rPr>
        <w:t xml:space="preserve"> </w:t>
      </w:r>
      <w:r w:rsidRPr="005C3E39">
        <w:rPr>
          <w:rFonts w:hint="eastAsia"/>
          <w:szCs w:val="24"/>
        </w:rPr>
        <w:t>денежной</w:t>
      </w:r>
      <w:r w:rsidRPr="005C3E39">
        <w:rPr>
          <w:szCs w:val="24"/>
        </w:rPr>
        <w:t xml:space="preserve"> </w:t>
      </w:r>
      <w:r w:rsidRPr="005C3E39">
        <w:rPr>
          <w:rFonts w:hint="eastAsia"/>
          <w:szCs w:val="24"/>
        </w:rPr>
        <w:t>компенсации</w:t>
      </w:r>
      <w:r w:rsidRPr="005C3E39">
        <w:rPr>
          <w:szCs w:val="24"/>
        </w:rPr>
        <w:t xml:space="preserve"> </w:t>
      </w:r>
      <w:r w:rsidRPr="005C3E39">
        <w:rPr>
          <w:rFonts w:hint="eastAsia"/>
          <w:szCs w:val="24"/>
        </w:rPr>
        <w:t>при</w:t>
      </w:r>
      <w:r w:rsidRPr="005C3E39">
        <w:rPr>
          <w:szCs w:val="24"/>
        </w:rPr>
        <w:t xml:space="preserve"> </w:t>
      </w:r>
      <w:r w:rsidRPr="005C3E39">
        <w:rPr>
          <w:rFonts w:hint="eastAsia"/>
          <w:szCs w:val="24"/>
        </w:rPr>
        <w:t>погашении</w:t>
      </w:r>
    </w:p>
    <w:p w14:paraId="4F351D32" w14:textId="310FA4FA" w:rsidR="0063438F" w:rsidRPr="005C3E39" w:rsidRDefault="0063438F" w:rsidP="0063438F">
      <w:pPr>
        <w:jc w:val="both"/>
        <w:rPr>
          <w:szCs w:val="24"/>
        </w:rPr>
      </w:pPr>
      <w:r w:rsidRPr="005C3E39">
        <w:rPr>
          <w:rFonts w:hint="eastAsia"/>
          <w:szCs w:val="24"/>
        </w:rPr>
        <w:t>инвестиционных</w:t>
      </w:r>
      <w:r w:rsidRPr="005C3E39">
        <w:rPr>
          <w:szCs w:val="24"/>
        </w:rPr>
        <w:t xml:space="preserve"> </w:t>
      </w:r>
      <w:r w:rsidRPr="005C3E39">
        <w:rPr>
          <w:rFonts w:hint="eastAsia"/>
          <w:szCs w:val="24"/>
        </w:rPr>
        <w:t>паев</w:t>
      </w:r>
      <w:r w:rsidRPr="005C3E39">
        <w:rPr>
          <w:szCs w:val="24"/>
        </w:rPr>
        <w:t xml:space="preserve"> </w:t>
      </w:r>
      <w:r w:rsidRPr="005C3E39">
        <w:rPr>
          <w:rFonts w:hint="eastAsia"/>
          <w:szCs w:val="24"/>
        </w:rPr>
        <w:t>Фонда</w:t>
      </w:r>
      <w:r w:rsidRPr="005C3E39">
        <w:rPr>
          <w:szCs w:val="24"/>
        </w:rPr>
        <w:t>-</w:t>
      </w:r>
      <w:r w:rsidR="00F27CEA" w:rsidRPr="005C3E39">
        <w:rPr>
          <w:szCs w:val="24"/>
        </w:rPr>
        <w:t>д</w:t>
      </w:r>
      <w:r w:rsidRPr="005C3E39">
        <w:rPr>
          <w:szCs w:val="24"/>
        </w:rPr>
        <w:t>ата внесения расходной записи о погашении паев согласно отчета регистратора;</w:t>
      </w:r>
    </w:p>
    <w:p w14:paraId="43ADF383" w14:textId="77777777" w:rsidR="0063438F" w:rsidRPr="005C3E39" w:rsidRDefault="0063438F" w:rsidP="0063438F">
      <w:pPr>
        <w:jc w:val="both"/>
        <w:rPr>
          <w:szCs w:val="24"/>
        </w:rPr>
      </w:pPr>
      <w:r w:rsidRPr="005C3E39">
        <w:rPr>
          <w:szCs w:val="24"/>
        </w:rPr>
        <w:t xml:space="preserve">- </w:t>
      </w:r>
      <w:r w:rsidRPr="005C3E39">
        <w:rPr>
          <w:rFonts w:hint="eastAsia"/>
          <w:szCs w:val="24"/>
        </w:rPr>
        <w:t>Кредиторская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вознаграждениям</w:t>
      </w:r>
      <w:r w:rsidRPr="005C3E39">
        <w:rPr>
          <w:szCs w:val="24"/>
        </w:rPr>
        <w:t xml:space="preserve"> </w:t>
      </w:r>
      <w:r w:rsidRPr="005C3E39">
        <w:rPr>
          <w:rFonts w:hint="eastAsia"/>
          <w:szCs w:val="24"/>
        </w:rPr>
        <w:t>Управляющей</w:t>
      </w:r>
      <w:r w:rsidRPr="005C3E39">
        <w:rPr>
          <w:szCs w:val="24"/>
        </w:rPr>
        <w:t xml:space="preserve"> </w:t>
      </w:r>
      <w:r w:rsidRPr="005C3E39">
        <w:rPr>
          <w:rFonts w:hint="eastAsia"/>
          <w:szCs w:val="24"/>
        </w:rPr>
        <w:t>компании</w:t>
      </w:r>
      <w:r w:rsidRPr="005C3E39">
        <w:rPr>
          <w:szCs w:val="24"/>
        </w:rPr>
        <w:t>,</w:t>
      </w:r>
    </w:p>
    <w:p w14:paraId="5741E76C" w14:textId="392B7AAF" w:rsidR="0063438F" w:rsidRPr="005C3E39" w:rsidRDefault="0063438F" w:rsidP="007B7481">
      <w:pPr>
        <w:jc w:val="both"/>
        <w:rPr>
          <w:szCs w:val="24"/>
        </w:rPr>
      </w:pPr>
      <w:r w:rsidRPr="005C3E39">
        <w:rPr>
          <w:rFonts w:hint="eastAsia"/>
          <w:szCs w:val="24"/>
        </w:rPr>
        <w:t>Специализированному</w:t>
      </w:r>
      <w:r w:rsidRPr="005C3E39">
        <w:rPr>
          <w:szCs w:val="24"/>
        </w:rPr>
        <w:t xml:space="preserve"> </w:t>
      </w:r>
      <w:r w:rsidRPr="005C3E39">
        <w:rPr>
          <w:rFonts w:hint="eastAsia"/>
          <w:szCs w:val="24"/>
        </w:rPr>
        <w:t>депозитарию</w:t>
      </w:r>
      <w:r w:rsidRPr="005C3E39">
        <w:rPr>
          <w:szCs w:val="24"/>
        </w:rPr>
        <w:t xml:space="preserve">, </w:t>
      </w:r>
      <w:r w:rsidRPr="005C3E39">
        <w:rPr>
          <w:rFonts w:hint="eastAsia"/>
          <w:szCs w:val="24"/>
        </w:rPr>
        <w:t>лицу</w:t>
      </w:r>
      <w:r w:rsidRPr="005C3E39">
        <w:rPr>
          <w:szCs w:val="24"/>
        </w:rPr>
        <w:t xml:space="preserve">, </w:t>
      </w:r>
      <w:r w:rsidRPr="005C3E39">
        <w:rPr>
          <w:rFonts w:hint="eastAsia"/>
          <w:szCs w:val="24"/>
        </w:rPr>
        <w:t>осуществляющему</w:t>
      </w:r>
      <w:r w:rsidRPr="005C3E39">
        <w:rPr>
          <w:szCs w:val="24"/>
        </w:rPr>
        <w:t xml:space="preserve"> </w:t>
      </w:r>
      <w:r w:rsidRPr="005C3E39">
        <w:rPr>
          <w:rFonts w:hint="eastAsia"/>
          <w:szCs w:val="24"/>
        </w:rPr>
        <w:t>ведение</w:t>
      </w:r>
      <w:r w:rsidRPr="005C3E39">
        <w:rPr>
          <w:szCs w:val="24"/>
        </w:rPr>
        <w:t xml:space="preserve"> </w:t>
      </w:r>
      <w:r w:rsidRPr="005C3E39">
        <w:rPr>
          <w:rFonts w:hint="eastAsia"/>
          <w:szCs w:val="24"/>
        </w:rPr>
        <w:t>реестра</w:t>
      </w:r>
      <w:r w:rsidRPr="005C3E39">
        <w:rPr>
          <w:szCs w:val="24"/>
        </w:rPr>
        <w:t xml:space="preserve"> </w:t>
      </w:r>
      <w:r w:rsidRPr="005C3E39">
        <w:rPr>
          <w:rFonts w:hint="eastAsia"/>
          <w:szCs w:val="24"/>
        </w:rPr>
        <w:t>владельцев</w:t>
      </w:r>
      <w:r w:rsidRPr="005C3E39">
        <w:rPr>
          <w:szCs w:val="24"/>
        </w:rPr>
        <w:t xml:space="preserve"> </w:t>
      </w:r>
      <w:r w:rsidRPr="005C3E39">
        <w:rPr>
          <w:rFonts w:hint="eastAsia"/>
          <w:szCs w:val="24"/>
        </w:rPr>
        <w:t>инвестиционных</w:t>
      </w:r>
      <w:r w:rsidRPr="005C3E39">
        <w:rPr>
          <w:szCs w:val="24"/>
        </w:rPr>
        <w:t xml:space="preserve"> </w:t>
      </w:r>
      <w:r w:rsidRPr="005C3E39">
        <w:rPr>
          <w:rFonts w:hint="eastAsia"/>
          <w:szCs w:val="24"/>
        </w:rPr>
        <w:t>паев</w:t>
      </w:r>
      <w:r w:rsidRPr="005C3E39">
        <w:rPr>
          <w:szCs w:val="24"/>
        </w:rPr>
        <w:t xml:space="preserve"> </w:t>
      </w:r>
      <w:r w:rsidRPr="005C3E39">
        <w:rPr>
          <w:rFonts w:hint="eastAsia"/>
          <w:szCs w:val="24"/>
        </w:rPr>
        <w:t>Фонда</w:t>
      </w:r>
      <w:r w:rsidRPr="005C3E39">
        <w:rPr>
          <w:szCs w:val="24"/>
        </w:rPr>
        <w:t xml:space="preserve">, </w:t>
      </w:r>
      <w:r w:rsidRPr="005C3E39">
        <w:rPr>
          <w:rFonts w:hint="eastAsia"/>
          <w:szCs w:val="24"/>
        </w:rPr>
        <w:t>а</w:t>
      </w:r>
      <w:r w:rsidRPr="005C3E39">
        <w:rPr>
          <w:szCs w:val="24"/>
        </w:rPr>
        <w:t xml:space="preserve"> </w:t>
      </w:r>
      <w:r w:rsidRPr="005C3E39">
        <w:rPr>
          <w:rFonts w:hint="eastAsia"/>
          <w:szCs w:val="24"/>
        </w:rPr>
        <w:t>также</w:t>
      </w:r>
      <w:r w:rsidRPr="005C3E39">
        <w:rPr>
          <w:szCs w:val="24"/>
        </w:rPr>
        <w:t xml:space="preserve"> </w:t>
      </w:r>
      <w:r w:rsidRPr="005C3E39">
        <w:rPr>
          <w:rFonts w:hint="eastAsia"/>
          <w:szCs w:val="24"/>
        </w:rPr>
        <w:t>обязательствам</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оплате</w:t>
      </w:r>
      <w:r w:rsidRPr="005C3E39">
        <w:rPr>
          <w:szCs w:val="24"/>
        </w:rPr>
        <w:t xml:space="preserve"> </w:t>
      </w:r>
      <w:r w:rsidRPr="005C3E39">
        <w:rPr>
          <w:rFonts w:hint="eastAsia"/>
          <w:szCs w:val="24"/>
        </w:rPr>
        <w:t>прочих</w:t>
      </w:r>
      <w:r w:rsidRPr="005C3E39">
        <w:rPr>
          <w:szCs w:val="24"/>
        </w:rPr>
        <w:t xml:space="preserve"> </w:t>
      </w:r>
      <w:r w:rsidRPr="005C3E39">
        <w:rPr>
          <w:rFonts w:hint="eastAsia"/>
          <w:szCs w:val="24"/>
        </w:rPr>
        <w:t>расходов</w:t>
      </w:r>
      <w:r w:rsidRPr="005C3E39">
        <w:rPr>
          <w:szCs w:val="24"/>
        </w:rPr>
        <w:t xml:space="preserve">, </w:t>
      </w:r>
      <w:r w:rsidRPr="005C3E39">
        <w:rPr>
          <w:rFonts w:hint="eastAsia"/>
          <w:szCs w:val="24"/>
        </w:rPr>
        <w:t>осуществляемых</w:t>
      </w:r>
      <w:r w:rsidRPr="005C3E39">
        <w:rPr>
          <w:szCs w:val="24"/>
        </w:rPr>
        <w:t xml:space="preserve"> </w:t>
      </w:r>
      <w:r w:rsidRPr="005C3E39">
        <w:rPr>
          <w:rFonts w:hint="eastAsia"/>
          <w:szCs w:val="24"/>
        </w:rPr>
        <w:t>за</w:t>
      </w:r>
      <w:r w:rsidRPr="005C3E39">
        <w:rPr>
          <w:szCs w:val="24"/>
        </w:rPr>
        <w:t xml:space="preserve"> </w:t>
      </w:r>
      <w:r w:rsidRPr="005C3E39">
        <w:rPr>
          <w:rFonts w:hint="eastAsia"/>
          <w:szCs w:val="24"/>
        </w:rPr>
        <w:t>счет</w:t>
      </w:r>
      <w:r w:rsidRPr="005C3E39">
        <w:rPr>
          <w:szCs w:val="24"/>
        </w:rPr>
        <w:t xml:space="preserve"> </w:t>
      </w:r>
      <w:r w:rsidRPr="005C3E39">
        <w:rPr>
          <w:rFonts w:hint="eastAsia"/>
          <w:szCs w:val="24"/>
        </w:rPr>
        <w:t>имущества</w:t>
      </w:r>
      <w:r w:rsidRPr="005C3E39">
        <w:rPr>
          <w:szCs w:val="24"/>
        </w:rPr>
        <w:t xml:space="preserve"> </w:t>
      </w:r>
      <w:r w:rsidRPr="005C3E39">
        <w:rPr>
          <w:rFonts w:hint="eastAsia"/>
          <w:szCs w:val="24"/>
        </w:rPr>
        <w:t>Фонда</w:t>
      </w:r>
      <w:r w:rsidRPr="005C3E39">
        <w:rPr>
          <w:szCs w:val="24"/>
        </w:rPr>
        <w:t xml:space="preserve">, </w:t>
      </w:r>
      <w:r w:rsidRPr="005C3E39">
        <w:rPr>
          <w:rFonts w:hint="eastAsia"/>
          <w:szCs w:val="24"/>
        </w:rPr>
        <w:t>в</w:t>
      </w:r>
      <w:r w:rsidRPr="005C3E39">
        <w:rPr>
          <w:szCs w:val="24"/>
        </w:rPr>
        <w:t xml:space="preserve"> </w:t>
      </w:r>
      <w:r w:rsidRPr="005C3E39">
        <w:rPr>
          <w:rFonts w:hint="eastAsia"/>
          <w:szCs w:val="24"/>
        </w:rPr>
        <w:t>соответствии</w:t>
      </w:r>
      <w:r w:rsidRPr="005C3E39">
        <w:rPr>
          <w:szCs w:val="24"/>
        </w:rPr>
        <w:t xml:space="preserve"> </w:t>
      </w:r>
      <w:r w:rsidRPr="005C3E39">
        <w:rPr>
          <w:rFonts w:hint="eastAsia"/>
          <w:szCs w:val="24"/>
        </w:rPr>
        <w:t>с</w:t>
      </w:r>
      <w:r w:rsidRPr="005C3E39">
        <w:rPr>
          <w:szCs w:val="24"/>
        </w:rPr>
        <w:t xml:space="preserve"> </w:t>
      </w:r>
      <w:r w:rsidRPr="005C3E39">
        <w:rPr>
          <w:rFonts w:hint="eastAsia"/>
          <w:szCs w:val="24"/>
        </w:rPr>
        <w:t>требованиями</w:t>
      </w:r>
      <w:r w:rsidRPr="005C3E39">
        <w:rPr>
          <w:szCs w:val="24"/>
        </w:rPr>
        <w:t xml:space="preserve"> </w:t>
      </w:r>
      <w:r w:rsidRPr="005C3E39">
        <w:rPr>
          <w:rFonts w:hint="eastAsia"/>
          <w:szCs w:val="24"/>
        </w:rPr>
        <w:t>действующего</w:t>
      </w:r>
      <w:r w:rsidRPr="005C3E39">
        <w:rPr>
          <w:szCs w:val="24"/>
        </w:rPr>
        <w:t xml:space="preserve"> </w:t>
      </w:r>
      <w:r w:rsidRPr="005C3E39">
        <w:rPr>
          <w:rFonts w:hint="eastAsia"/>
          <w:szCs w:val="24"/>
        </w:rPr>
        <w:t>законодательства</w:t>
      </w:r>
      <w:r w:rsidRPr="005C3E39">
        <w:rPr>
          <w:szCs w:val="24"/>
        </w:rPr>
        <w:t xml:space="preserve"> и заключенным договорам</w:t>
      </w:r>
      <w:r w:rsidR="007C0B50" w:rsidRPr="005C3E39">
        <w:rPr>
          <w:szCs w:val="24"/>
        </w:rPr>
        <w:t>-дата в соответствии с условиями заключенных договоров на выполнение работ (оказание услуг) и в соответствии с правилами ДУ ПИФ. В случае, когда невозможно определить размер задолженности - дата получения документа, подтверждающего выполнение работ (оказания услуг) по соответствующим договорам;</w:t>
      </w:r>
      <w:r w:rsidRPr="005C3E39">
        <w:rPr>
          <w:szCs w:val="24"/>
        </w:rPr>
        <w:t xml:space="preserve">  </w:t>
      </w:r>
    </w:p>
    <w:p w14:paraId="7BD84E8F" w14:textId="50F4F40E" w:rsidR="007C0B50" w:rsidRPr="005C3E39" w:rsidRDefault="007C0B50" w:rsidP="007B7481">
      <w:pPr>
        <w:jc w:val="both"/>
        <w:rPr>
          <w:szCs w:val="24"/>
        </w:rPr>
      </w:pPr>
      <w:r w:rsidRPr="005C3E39">
        <w:rPr>
          <w:szCs w:val="24"/>
        </w:rPr>
        <w:t>- 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r w:rsidR="002451D8" w:rsidRPr="005C3E39">
        <w:rPr>
          <w:szCs w:val="24"/>
        </w:rPr>
        <w:t>д</w:t>
      </w:r>
      <w:r w:rsidRPr="005C3E39">
        <w:rPr>
          <w:szCs w:val="24"/>
        </w:rPr>
        <w:t>ата получение денежных средств от управляющей компании согласно банковской выписки;</w:t>
      </w:r>
    </w:p>
    <w:p w14:paraId="119A7371" w14:textId="74B0C29A" w:rsidR="007C0B50" w:rsidRPr="005C3E39" w:rsidRDefault="007C0B50" w:rsidP="007B7481">
      <w:pPr>
        <w:jc w:val="both"/>
        <w:rPr>
          <w:szCs w:val="24"/>
        </w:rPr>
      </w:pPr>
      <w:r w:rsidRPr="005C3E39">
        <w:rPr>
          <w:szCs w:val="24"/>
        </w:rPr>
        <w:lastRenderedPageBreak/>
        <w:t>-Кредиторская задолженность по уплате налогов и других обязательных платежей</w:t>
      </w:r>
      <w:r w:rsidR="002451D8" w:rsidRPr="005C3E39">
        <w:rPr>
          <w:szCs w:val="24"/>
        </w:rPr>
        <w:t xml:space="preserve"> ( в том числе по выплате дохода пайщикам)</w:t>
      </w:r>
      <w:r w:rsidRPr="005C3E39">
        <w:rPr>
          <w:szCs w:val="24"/>
        </w:rPr>
        <w:t xml:space="preserve"> из имущества Фонда-</w:t>
      </w:r>
      <w:r w:rsidR="002451D8" w:rsidRPr="005C3E39">
        <w:rPr>
          <w:szCs w:val="24"/>
        </w:rPr>
        <w:t>д</w:t>
      </w:r>
      <w:r w:rsidRPr="005C3E39">
        <w:rPr>
          <w:szCs w:val="24"/>
        </w:rPr>
        <w:t>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p w14:paraId="7569C76D" w14:textId="1DFEA626" w:rsidR="007C0B50" w:rsidRDefault="007C0B50" w:rsidP="007C0B50">
      <w:pPr>
        <w:jc w:val="both"/>
        <w:rPr>
          <w:szCs w:val="24"/>
        </w:rPr>
      </w:pPr>
      <w:r w:rsidRPr="005C3E39">
        <w:rPr>
          <w:szCs w:val="24"/>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r w:rsidR="002451D8" w:rsidRPr="005C3E39">
        <w:rPr>
          <w:szCs w:val="24"/>
        </w:rPr>
        <w:t>д</w:t>
      </w:r>
      <w:r w:rsidRPr="005C3E39">
        <w:rPr>
          <w:szCs w:val="24"/>
        </w:rPr>
        <w:t>ата выставления управляющей компанией счета на возмещение понесенных расходов</w:t>
      </w:r>
      <w:r w:rsidR="002451D8" w:rsidRPr="005C3E39">
        <w:rPr>
          <w:szCs w:val="24"/>
        </w:rPr>
        <w:t>.</w:t>
      </w:r>
    </w:p>
    <w:p w14:paraId="176D12DA" w14:textId="77777777" w:rsidR="00563C1B" w:rsidRPr="00091A52" w:rsidRDefault="00563C1B" w:rsidP="00563C1B">
      <w:pPr>
        <w:rPr>
          <w:szCs w:val="24"/>
        </w:rPr>
      </w:pPr>
      <w:r>
        <w:rPr>
          <w:szCs w:val="24"/>
        </w:rPr>
        <w:t>-</w:t>
      </w:r>
      <w:r w:rsidRPr="00E7527D">
        <w:rPr>
          <w:b/>
          <w:bCs/>
        </w:rPr>
        <w:t xml:space="preserve"> </w:t>
      </w:r>
      <w:r w:rsidRPr="00091A52">
        <w:rPr>
          <w:szCs w:val="24"/>
        </w:rPr>
        <w:t>Кредиторская задолженность по возврату купонного дохода/погашения  по ценной бумаги по находящейся в РЕПО</w:t>
      </w:r>
    </w:p>
    <w:p w14:paraId="4E78EDD7" w14:textId="77777777" w:rsidR="00563C1B" w:rsidRDefault="00563C1B" w:rsidP="00563C1B">
      <w:pPr>
        <w:rPr>
          <w:b/>
          <w:bCs/>
        </w:rPr>
      </w:pPr>
    </w:p>
    <w:p w14:paraId="4D38CF14" w14:textId="1049373C" w:rsidR="00563C1B" w:rsidRPr="005C3E39" w:rsidRDefault="00563C1B" w:rsidP="00563C1B">
      <w:pPr>
        <w:jc w:val="both"/>
        <w:rPr>
          <w:szCs w:val="24"/>
        </w:rPr>
      </w:pPr>
      <w:r>
        <w:t>В случае, если по ценной бумаге, в отношении которой заключена сделка обратного РЕПО, наступила дата погашения купона– признается кредиторская задолженность по возврату купонного дохода в дату погашения купона/облигации</w:t>
      </w:r>
    </w:p>
    <w:p w14:paraId="6B68EE4D" w14:textId="65A4DADF" w:rsidR="007C0B50" w:rsidRPr="005C3E39" w:rsidRDefault="007C0B50" w:rsidP="0063438F">
      <w:pPr>
        <w:rPr>
          <w:bCs/>
          <w:color w:val="000000"/>
          <w:sz w:val="22"/>
          <w:szCs w:val="22"/>
        </w:rPr>
      </w:pPr>
    </w:p>
    <w:p w14:paraId="006D90A1" w14:textId="4C1FF901" w:rsidR="002451D8" w:rsidRPr="005C3E39" w:rsidRDefault="002451D8" w:rsidP="0063438F">
      <w:pPr>
        <w:rPr>
          <w:rFonts w:eastAsia="Calibri"/>
          <w:i/>
          <w:u w:val="single"/>
          <w:lang w:eastAsia="en-US"/>
        </w:rPr>
      </w:pPr>
      <w:r w:rsidRPr="005C3E39">
        <w:rPr>
          <w:rFonts w:eastAsia="Calibri"/>
          <w:i/>
          <w:u w:val="single"/>
          <w:lang w:eastAsia="en-US"/>
        </w:rPr>
        <w:t>Критерии прекращения признания</w:t>
      </w:r>
    </w:p>
    <w:p w14:paraId="01A06DB7" w14:textId="77777777" w:rsidR="002451D8" w:rsidRPr="005C3E39" w:rsidRDefault="002451D8" w:rsidP="0063438F">
      <w:pPr>
        <w:rPr>
          <w:rFonts w:eastAsia="Calibri"/>
          <w:b/>
          <w:u w:val="single"/>
          <w:lang w:eastAsia="en-US"/>
        </w:rPr>
      </w:pPr>
    </w:p>
    <w:p w14:paraId="673F6C43" w14:textId="681C5423" w:rsidR="002451D8" w:rsidRPr="005C3E39" w:rsidRDefault="002451D8" w:rsidP="002451D8">
      <w:pPr>
        <w:jc w:val="both"/>
        <w:rPr>
          <w:szCs w:val="24"/>
        </w:rPr>
      </w:pPr>
      <w:r w:rsidRPr="005C3E39">
        <w:rPr>
          <w:szCs w:val="24"/>
        </w:rPr>
        <w:t xml:space="preserve">- </w:t>
      </w:r>
      <w:r w:rsidRPr="005C3E39">
        <w:rPr>
          <w:rFonts w:hint="eastAsia"/>
          <w:szCs w:val="24"/>
        </w:rPr>
        <w:t>Кредиторская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выдаче</w:t>
      </w:r>
      <w:r w:rsidRPr="005C3E39">
        <w:rPr>
          <w:szCs w:val="24"/>
        </w:rPr>
        <w:t xml:space="preserve"> </w:t>
      </w:r>
      <w:r w:rsidRPr="005C3E39">
        <w:rPr>
          <w:rFonts w:hint="eastAsia"/>
          <w:szCs w:val="24"/>
        </w:rPr>
        <w:t>инвестиционных</w:t>
      </w:r>
      <w:r w:rsidRPr="005C3E39">
        <w:rPr>
          <w:szCs w:val="24"/>
        </w:rPr>
        <w:t xml:space="preserve"> </w:t>
      </w:r>
      <w:r w:rsidRPr="005C3E39">
        <w:rPr>
          <w:rFonts w:hint="eastAsia"/>
          <w:szCs w:val="24"/>
        </w:rPr>
        <w:t>паев</w:t>
      </w:r>
      <w:r w:rsidRPr="005C3E39">
        <w:rPr>
          <w:szCs w:val="24"/>
        </w:rPr>
        <w:t xml:space="preserve"> </w:t>
      </w:r>
      <w:r w:rsidRPr="005C3E39">
        <w:rPr>
          <w:rFonts w:hint="eastAsia"/>
          <w:szCs w:val="24"/>
        </w:rPr>
        <w:t>Фонд</w:t>
      </w:r>
      <w:r w:rsidRPr="005C3E39">
        <w:rPr>
          <w:szCs w:val="24"/>
        </w:rPr>
        <w:t>-дата внесения приходной записи о выдаче инвестиционных паев в реестр Фонда согласно отчету регистратора;</w:t>
      </w:r>
    </w:p>
    <w:p w14:paraId="29E54240" w14:textId="77777777" w:rsidR="002451D8" w:rsidRPr="005C3E39" w:rsidRDefault="002451D8" w:rsidP="002451D8">
      <w:pPr>
        <w:jc w:val="both"/>
        <w:rPr>
          <w:szCs w:val="24"/>
        </w:rPr>
      </w:pPr>
      <w:r w:rsidRPr="005C3E39">
        <w:rPr>
          <w:szCs w:val="24"/>
        </w:rPr>
        <w:t xml:space="preserve">- </w:t>
      </w:r>
      <w:r w:rsidRPr="005C3E39">
        <w:rPr>
          <w:rFonts w:hint="eastAsia"/>
          <w:szCs w:val="24"/>
        </w:rPr>
        <w:t>Кредиторская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выплате</w:t>
      </w:r>
      <w:r w:rsidRPr="005C3E39">
        <w:rPr>
          <w:szCs w:val="24"/>
        </w:rPr>
        <w:t xml:space="preserve"> </w:t>
      </w:r>
      <w:r w:rsidRPr="005C3E39">
        <w:rPr>
          <w:rFonts w:hint="eastAsia"/>
          <w:szCs w:val="24"/>
        </w:rPr>
        <w:t>денежной</w:t>
      </w:r>
      <w:r w:rsidRPr="005C3E39">
        <w:rPr>
          <w:szCs w:val="24"/>
        </w:rPr>
        <w:t xml:space="preserve"> </w:t>
      </w:r>
      <w:r w:rsidRPr="005C3E39">
        <w:rPr>
          <w:rFonts w:hint="eastAsia"/>
          <w:szCs w:val="24"/>
        </w:rPr>
        <w:t>компенсации</w:t>
      </w:r>
      <w:r w:rsidRPr="005C3E39">
        <w:rPr>
          <w:szCs w:val="24"/>
        </w:rPr>
        <w:t xml:space="preserve"> </w:t>
      </w:r>
      <w:r w:rsidRPr="005C3E39">
        <w:rPr>
          <w:rFonts w:hint="eastAsia"/>
          <w:szCs w:val="24"/>
        </w:rPr>
        <w:t>при</w:t>
      </w:r>
      <w:r w:rsidRPr="005C3E39">
        <w:rPr>
          <w:szCs w:val="24"/>
        </w:rPr>
        <w:t xml:space="preserve"> </w:t>
      </w:r>
      <w:r w:rsidRPr="005C3E39">
        <w:rPr>
          <w:rFonts w:hint="eastAsia"/>
          <w:szCs w:val="24"/>
        </w:rPr>
        <w:t>погашении</w:t>
      </w:r>
    </w:p>
    <w:p w14:paraId="5B2B695D" w14:textId="29FA3FD8" w:rsidR="002451D8" w:rsidRPr="005C3E39" w:rsidRDefault="002451D8" w:rsidP="002451D8">
      <w:pPr>
        <w:jc w:val="both"/>
        <w:rPr>
          <w:szCs w:val="24"/>
        </w:rPr>
      </w:pPr>
      <w:r w:rsidRPr="005C3E39">
        <w:rPr>
          <w:rFonts w:hint="eastAsia"/>
          <w:szCs w:val="24"/>
        </w:rPr>
        <w:t>инвестиционных</w:t>
      </w:r>
      <w:r w:rsidRPr="005C3E39">
        <w:rPr>
          <w:szCs w:val="24"/>
        </w:rPr>
        <w:t xml:space="preserve"> </w:t>
      </w:r>
      <w:r w:rsidRPr="005C3E39">
        <w:rPr>
          <w:rFonts w:hint="eastAsia"/>
          <w:szCs w:val="24"/>
        </w:rPr>
        <w:t>паев</w:t>
      </w:r>
      <w:r w:rsidRPr="005C3E39">
        <w:rPr>
          <w:szCs w:val="24"/>
        </w:rPr>
        <w:t xml:space="preserve"> </w:t>
      </w:r>
      <w:r w:rsidRPr="005C3E39">
        <w:rPr>
          <w:rFonts w:hint="eastAsia"/>
          <w:szCs w:val="24"/>
        </w:rPr>
        <w:t>Фонда</w:t>
      </w:r>
      <w:r w:rsidRPr="005C3E39">
        <w:rPr>
          <w:szCs w:val="24"/>
        </w:rPr>
        <w:t>-дата выплаты суммы денежной компенсации за погашение инвестиционных паев Фонда согласно банковской выписке;</w:t>
      </w:r>
    </w:p>
    <w:p w14:paraId="2B760601" w14:textId="77777777" w:rsidR="002451D8" w:rsidRPr="005C3E39" w:rsidRDefault="002451D8" w:rsidP="002451D8">
      <w:pPr>
        <w:jc w:val="both"/>
        <w:rPr>
          <w:szCs w:val="24"/>
        </w:rPr>
      </w:pPr>
      <w:r w:rsidRPr="005C3E39">
        <w:rPr>
          <w:szCs w:val="24"/>
        </w:rPr>
        <w:t xml:space="preserve">- </w:t>
      </w:r>
      <w:r w:rsidRPr="005C3E39">
        <w:rPr>
          <w:rFonts w:hint="eastAsia"/>
          <w:szCs w:val="24"/>
        </w:rPr>
        <w:t>Кредиторская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вознаграждениям</w:t>
      </w:r>
      <w:r w:rsidRPr="005C3E39">
        <w:rPr>
          <w:szCs w:val="24"/>
        </w:rPr>
        <w:t xml:space="preserve"> </w:t>
      </w:r>
      <w:r w:rsidRPr="005C3E39">
        <w:rPr>
          <w:rFonts w:hint="eastAsia"/>
          <w:szCs w:val="24"/>
        </w:rPr>
        <w:t>Управляющей</w:t>
      </w:r>
      <w:r w:rsidRPr="005C3E39">
        <w:rPr>
          <w:szCs w:val="24"/>
        </w:rPr>
        <w:t xml:space="preserve"> </w:t>
      </w:r>
      <w:r w:rsidRPr="005C3E39">
        <w:rPr>
          <w:rFonts w:hint="eastAsia"/>
          <w:szCs w:val="24"/>
        </w:rPr>
        <w:t>компании</w:t>
      </w:r>
      <w:r w:rsidRPr="005C3E39">
        <w:rPr>
          <w:szCs w:val="24"/>
        </w:rPr>
        <w:t>,</w:t>
      </w:r>
    </w:p>
    <w:p w14:paraId="69D11972" w14:textId="18F0CDC3" w:rsidR="002451D8" w:rsidRPr="005C3E39" w:rsidRDefault="002451D8" w:rsidP="002451D8">
      <w:pPr>
        <w:jc w:val="both"/>
        <w:rPr>
          <w:szCs w:val="24"/>
        </w:rPr>
      </w:pPr>
      <w:r w:rsidRPr="005C3E39">
        <w:rPr>
          <w:rFonts w:hint="eastAsia"/>
          <w:szCs w:val="24"/>
        </w:rPr>
        <w:t>Специализированному</w:t>
      </w:r>
      <w:r w:rsidRPr="005C3E39">
        <w:rPr>
          <w:szCs w:val="24"/>
        </w:rPr>
        <w:t xml:space="preserve"> </w:t>
      </w:r>
      <w:r w:rsidRPr="005C3E39">
        <w:rPr>
          <w:rFonts w:hint="eastAsia"/>
          <w:szCs w:val="24"/>
        </w:rPr>
        <w:t>депозитарию</w:t>
      </w:r>
      <w:r w:rsidRPr="005C3E39">
        <w:rPr>
          <w:szCs w:val="24"/>
        </w:rPr>
        <w:t xml:space="preserve">, </w:t>
      </w:r>
      <w:r w:rsidRPr="005C3E39">
        <w:rPr>
          <w:rFonts w:hint="eastAsia"/>
          <w:szCs w:val="24"/>
        </w:rPr>
        <w:t>лицу</w:t>
      </w:r>
      <w:r w:rsidRPr="005C3E39">
        <w:rPr>
          <w:szCs w:val="24"/>
        </w:rPr>
        <w:t xml:space="preserve">, </w:t>
      </w:r>
      <w:r w:rsidRPr="005C3E39">
        <w:rPr>
          <w:rFonts w:hint="eastAsia"/>
          <w:szCs w:val="24"/>
        </w:rPr>
        <w:t>осуществляющему</w:t>
      </w:r>
      <w:r w:rsidRPr="005C3E39">
        <w:rPr>
          <w:szCs w:val="24"/>
        </w:rPr>
        <w:t xml:space="preserve"> </w:t>
      </w:r>
      <w:r w:rsidRPr="005C3E39">
        <w:rPr>
          <w:rFonts w:hint="eastAsia"/>
          <w:szCs w:val="24"/>
        </w:rPr>
        <w:t>ведение</w:t>
      </w:r>
      <w:r w:rsidRPr="005C3E39">
        <w:rPr>
          <w:szCs w:val="24"/>
        </w:rPr>
        <w:t xml:space="preserve"> </w:t>
      </w:r>
      <w:r w:rsidRPr="005C3E39">
        <w:rPr>
          <w:rFonts w:hint="eastAsia"/>
          <w:szCs w:val="24"/>
        </w:rPr>
        <w:t>реестра</w:t>
      </w:r>
      <w:r w:rsidRPr="005C3E39">
        <w:rPr>
          <w:szCs w:val="24"/>
        </w:rPr>
        <w:t xml:space="preserve"> </w:t>
      </w:r>
      <w:r w:rsidRPr="005C3E39">
        <w:rPr>
          <w:rFonts w:hint="eastAsia"/>
          <w:szCs w:val="24"/>
        </w:rPr>
        <w:t>владельцев</w:t>
      </w:r>
      <w:r w:rsidRPr="005C3E39">
        <w:rPr>
          <w:szCs w:val="24"/>
        </w:rPr>
        <w:t xml:space="preserve"> </w:t>
      </w:r>
      <w:r w:rsidRPr="005C3E39">
        <w:rPr>
          <w:rFonts w:hint="eastAsia"/>
          <w:szCs w:val="24"/>
        </w:rPr>
        <w:t>инвестиционных</w:t>
      </w:r>
      <w:r w:rsidRPr="005C3E39">
        <w:rPr>
          <w:szCs w:val="24"/>
        </w:rPr>
        <w:t xml:space="preserve"> </w:t>
      </w:r>
      <w:r w:rsidRPr="005C3E39">
        <w:rPr>
          <w:rFonts w:hint="eastAsia"/>
          <w:szCs w:val="24"/>
        </w:rPr>
        <w:t>паев</w:t>
      </w:r>
      <w:r w:rsidRPr="005C3E39">
        <w:rPr>
          <w:szCs w:val="24"/>
        </w:rPr>
        <w:t xml:space="preserve"> </w:t>
      </w:r>
      <w:r w:rsidRPr="005C3E39">
        <w:rPr>
          <w:rFonts w:hint="eastAsia"/>
          <w:szCs w:val="24"/>
        </w:rPr>
        <w:t>Фонда</w:t>
      </w:r>
      <w:r w:rsidRPr="005C3E39">
        <w:rPr>
          <w:szCs w:val="24"/>
        </w:rPr>
        <w:t xml:space="preserve">, </w:t>
      </w:r>
      <w:r w:rsidRPr="005C3E39">
        <w:rPr>
          <w:rFonts w:hint="eastAsia"/>
          <w:szCs w:val="24"/>
        </w:rPr>
        <w:t>а</w:t>
      </w:r>
      <w:r w:rsidRPr="005C3E39">
        <w:rPr>
          <w:szCs w:val="24"/>
        </w:rPr>
        <w:t xml:space="preserve"> </w:t>
      </w:r>
      <w:r w:rsidRPr="005C3E39">
        <w:rPr>
          <w:rFonts w:hint="eastAsia"/>
          <w:szCs w:val="24"/>
        </w:rPr>
        <w:t>также</w:t>
      </w:r>
      <w:r w:rsidRPr="005C3E39">
        <w:rPr>
          <w:szCs w:val="24"/>
        </w:rPr>
        <w:t xml:space="preserve"> </w:t>
      </w:r>
      <w:r w:rsidRPr="005C3E39">
        <w:rPr>
          <w:rFonts w:hint="eastAsia"/>
          <w:szCs w:val="24"/>
        </w:rPr>
        <w:t>обязательствам</w:t>
      </w:r>
      <w:r w:rsidRPr="005C3E39">
        <w:rPr>
          <w:szCs w:val="24"/>
        </w:rPr>
        <w:t xml:space="preserve"> </w:t>
      </w:r>
      <w:r w:rsidRPr="005C3E39">
        <w:rPr>
          <w:rFonts w:hint="eastAsia"/>
          <w:szCs w:val="24"/>
        </w:rPr>
        <w:t>по</w:t>
      </w:r>
      <w:r w:rsidRPr="005C3E39">
        <w:rPr>
          <w:szCs w:val="24"/>
        </w:rPr>
        <w:t xml:space="preserve"> </w:t>
      </w:r>
      <w:r w:rsidRPr="005C3E39">
        <w:rPr>
          <w:rFonts w:hint="eastAsia"/>
          <w:szCs w:val="24"/>
        </w:rPr>
        <w:t>оплате</w:t>
      </w:r>
      <w:r w:rsidRPr="005C3E39">
        <w:rPr>
          <w:szCs w:val="24"/>
        </w:rPr>
        <w:t xml:space="preserve"> </w:t>
      </w:r>
      <w:r w:rsidRPr="005C3E39">
        <w:rPr>
          <w:rFonts w:hint="eastAsia"/>
          <w:szCs w:val="24"/>
        </w:rPr>
        <w:t>прочих</w:t>
      </w:r>
      <w:r w:rsidRPr="005C3E39">
        <w:rPr>
          <w:szCs w:val="24"/>
        </w:rPr>
        <w:t xml:space="preserve"> </w:t>
      </w:r>
      <w:r w:rsidRPr="005C3E39">
        <w:rPr>
          <w:rFonts w:hint="eastAsia"/>
          <w:szCs w:val="24"/>
        </w:rPr>
        <w:t>расходов</w:t>
      </w:r>
      <w:r w:rsidRPr="005C3E39">
        <w:rPr>
          <w:szCs w:val="24"/>
        </w:rPr>
        <w:t xml:space="preserve">, </w:t>
      </w:r>
      <w:r w:rsidRPr="005C3E39">
        <w:rPr>
          <w:rFonts w:hint="eastAsia"/>
          <w:szCs w:val="24"/>
        </w:rPr>
        <w:t>осуществляемых</w:t>
      </w:r>
      <w:r w:rsidRPr="005C3E39">
        <w:rPr>
          <w:szCs w:val="24"/>
        </w:rPr>
        <w:t xml:space="preserve"> </w:t>
      </w:r>
      <w:r w:rsidRPr="005C3E39">
        <w:rPr>
          <w:rFonts w:hint="eastAsia"/>
          <w:szCs w:val="24"/>
        </w:rPr>
        <w:t>за</w:t>
      </w:r>
      <w:r w:rsidRPr="005C3E39">
        <w:rPr>
          <w:szCs w:val="24"/>
        </w:rPr>
        <w:t xml:space="preserve"> </w:t>
      </w:r>
      <w:r w:rsidRPr="005C3E39">
        <w:rPr>
          <w:rFonts w:hint="eastAsia"/>
          <w:szCs w:val="24"/>
        </w:rPr>
        <w:t>счет</w:t>
      </w:r>
      <w:r w:rsidRPr="005C3E39">
        <w:rPr>
          <w:szCs w:val="24"/>
        </w:rPr>
        <w:t xml:space="preserve"> </w:t>
      </w:r>
      <w:r w:rsidRPr="005C3E39">
        <w:rPr>
          <w:rFonts w:hint="eastAsia"/>
          <w:szCs w:val="24"/>
        </w:rPr>
        <w:t>имущества</w:t>
      </w:r>
      <w:r w:rsidRPr="005C3E39">
        <w:rPr>
          <w:szCs w:val="24"/>
        </w:rPr>
        <w:t xml:space="preserve"> </w:t>
      </w:r>
      <w:r w:rsidRPr="005C3E39">
        <w:rPr>
          <w:rFonts w:hint="eastAsia"/>
          <w:szCs w:val="24"/>
        </w:rPr>
        <w:t>Фонда</w:t>
      </w:r>
      <w:r w:rsidRPr="005C3E39">
        <w:rPr>
          <w:szCs w:val="24"/>
        </w:rPr>
        <w:t xml:space="preserve">, </w:t>
      </w:r>
      <w:r w:rsidRPr="005C3E39">
        <w:rPr>
          <w:rFonts w:hint="eastAsia"/>
          <w:szCs w:val="24"/>
        </w:rPr>
        <w:t>в</w:t>
      </w:r>
      <w:r w:rsidRPr="005C3E39">
        <w:rPr>
          <w:szCs w:val="24"/>
        </w:rPr>
        <w:t xml:space="preserve"> </w:t>
      </w:r>
      <w:r w:rsidRPr="005C3E39">
        <w:rPr>
          <w:rFonts w:hint="eastAsia"/>
          <w:szCs w:val="24"/>
        </w:rPr>
        <w:t>соответствии</w:t>
      </w:r>
      <w:r w:rsidRPr="005C3E39">
        <w:rPr>
          <w:szCs w:val="24"/>
        </w:rPr>
        <w:t xml:space="preserve"> </w:t>
      </w:r>
      <w:r w:rsidRPr="005C3E39">
        <w:rPr>
          <w:rFonts w:hint="eastAsia"/>
          <w:szCs w:val="24"/>
        </w:rPr>
        <w:t>с</w:t>
      </w:r>
      <w:r w:rsidRPr="005C3E39">
        <w:rPr>
          <w:szCs w:val="24"/>
        </w:rPr>
        <w:t xml:space="preserve"> </w:t>
      </w:r>
      <w:r w:rsidRPr="005C3E39">
        <w:rPr>
          <w:rFonts w:hint="eastAsia"/>
          <w:szCs w:val="24"/>
        </w:rPr>
        <w:t>требованиями</w:t>
      </w:r>
      <w:r w:rsidRPr="005C3E39">
        <w:rPr>
          <w:szCs w:val="24"/>
        </w:rPr>
        <w:t xml:space="preserve"> </w:t>
      </w:r>
      <w:r w:rsidRPr="005C3E39">
        <w:rPr>
          <w:rFonts w:hint="eastAsia"/>
          <w:szCs w:val="24"/>
        </w:rPr>
        <w:t>действующего</w:t>
      </w:r>
      <w:r w:rsidRPr="005C3E39">
        <w:rPr>
          <w:szCs w:val="24"/>
        </w:rPr>
        <w:t xml:space="preserve"> </w:t>
      </w:r>
      <w:r w:rsidRPr="005C3E39">
        <w:rPr>
          <w:rFonts w:hint="eastAsia"/>
          <w:szCs w:val="24"/>
        </w:rPr>
        <w:t>законодательства</w:t>
      </w:r>
      <w:r w:rsidRPr="005C3E39">
        <w:rPr>
          <w:szCs w:val="24"/>
        </w:rPr>
        <w:t xml:space="preserve"> и заключенным договорам-</w:t>
      </w:r>
      <w:r w:rsidR="00F61B6F" w:rsidRPr="005C3E39">
        <w:rPr>
          <w:szCs w:val="24"/>
        </w:rPr>
        <w:t>дата перечисления суммы вознаграждений и расходов с расчетного счета ПИФ согласно банковской выписке</w:t>
      </w:r>
      <w:r w:rsidRPr="005C3E39">
        <w:rPr>
          <w:szCs w:val="24"/>
        </w:rPr>
        <w:t xml:space="preserve">;  </w:t>
      </w:r>
    </w:p>
    <w:p w14:paraId="15CA1663" w14:textId="499DE871" w:rsidR="002451D8" w:rsidRPr="005C3E39" w:rsidRDefault="002451D8" w:rsidP="002451D8">
      <w:pPr>
        <w:jc w:val="both"/>
        <w:rPr>
          <w:szCs w:val="24"/>
        </w:rPr>
      </w:pPr>
      <w:r w:rsidRPr="005C3E39">
        <w:rPr>
          <w:szCs w:val="24"/>
        </w:rPr>
        <w:t>- 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r w:rsidR="00F61B6F" w:rsidRPr="005C3E39">
        <w:rPr>
          <w:szCs w:val="24"/>
        </w:rPr>
        <w:t>дата возврата суммы задолженности Управляющей компании согласно банковской выписке</w:t>
      </w:r>
      <w:r w:rsidRPr="005C3E39">
        <w:rPr>
          <w:szCs w:val="24"/>
        </w:rPr>
        <w:t>;</w:t>
      </w:r>
    </w:p>
    <w:p w14:paraId="04C9A3FE" w14:textId="7B7382EB" w:rsidR="002451D8" w:rsidRPr="005C3E39" w:rsidRDefault="002451D8" w:rsidP="002451D8">
      <w:pPr>
        <w:jc w:val="both"/>
        <w:rPr>
          <w:szCs w:val="24"/>
        </w:rPr>
      </w:pPr>
      <w:r w:rsidRPr="005C3E39">
        <w:rPr>
          <w:szCs w:val="24"/>
        </w:rPr>
        <w:t>-Кредиторская задолженность по уплате налогов и других обязательных платежей ( в том числе по выплате дохода пайщикам) из имущества Фонда-</w:t>
      </w:r>
      <w:r w:rsidR="00F61B6F" w:rsidRPr="005C3E39">
        <w:rPr>
          <w:szCs w:val="24"/>
        </w:rPr>
        <w:t>дата перечисления суммы налогов (обязательных платежей) с расчетного счета Фонда согласно банковской выписке.</w:t>
      </w:r>
      <w:r w:rsidRPr="005C3E39">
        <w:rPr>
          <w:szCs w:val="24"/>
        </w:rPr>
        <w:t>;</w:t>
      </w:r>
    </w:p>
    <w:p w14:paraId="46A4FA73" w14:textId="3FF02D77" w:rsidR="002451D8" w:rsidRDefault="002451D8" w:rsidP="002451D8">
      <w:pPr>
        <w:jc w:val="both"/>
        <w:rPr>
          <w:szCs w:val="24"/>
        </w:rPr>
      </w:pPr>
      <w:r w:rsidRPr="005C3E39">
        <w:rPr>
          <w:szCs w:val="24"/>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r w:rsidR="00F61B6F" w:rsidRPr="005C3E39">
        <w:rPr>
          <w:szCs w:val="24"/>
        </w:rPr>
        <w:t>Дата возврата суммы задолженности управляющей компании согласно банковской выписке.</w:t>
      </w:r>
    </w:p>
    <w:p w14:paraId="18FEA31B" w14:textId="77777777" w:rsidR="00563C1B" w:rsidRPr="00091A52" w:rsidRDefault="00563C1B" w:rsidP="00563C1B">
      <w:pPr>
        <w:rPr>
          <w:szCs w:val="24"/>
        </w:rPr>
      </w:pPr>
      <w:bookmarkStart w:id="12" w:name="_Hlk221105548"/>
      <w:r>
        <w:rPr>
          <w:szCs w:val="24"/>
        </w:rPr>
        <w:t>-</w:t>
      </w:r>
      <w:r w:rsidRPr="00E7527D">
        <w:rPr>
          <w:b/>
          <w:bCs/>
        </w:rPr>
        <w:t xml:space="preserve"> </w:t>
      </w:r>
      <w:r w:rsidRPr="00091A52">
        <w:rPr>
          <w:szCs w:val="24"/>
        </w:rPr>
        <w:t>Кредиторская задолженность по возврату купонного дохода/погашения  по ценной бумаги по находящейся в РЕПО</w:t>
      </w:r>
      <w:r>
        <w:rPr>
          <w:szCs w:val="24"/>
        </w:rPr>
        <w:t>:</w:t>
      </w:r>
    </w:p>
    <w:p w14:paraId="7BC3F66E" w14:textId="77777777" w:rsidR="00563C1B" w:rsidRDefault="00563C1B" w:rsidP="00563C1B">
      <w:pPr>
        <w:rPr>
          <w:sz w:val="22"/>
        </w:rPr>
      </w:pPr>
      <w:r>
        <w:t>дата фактического списания с  брокерского счета/расчетного счета</w:t>
      </w:r>
    </w:p>
    <w:bookmarkEnd w:id="12"/>
    <w:p w14:paraId="7C0CFACE" w14:textId="77777777" w:rsidR="00563C1B" w:rsidRPr="005C3E39" w:rsidRDefault="00563C1B" w:rsidP="002451D8">
      <w:pPr>
        <w:jc w:val="both"/>
        <w:rPr>
          <w:szCs w:val="24"/>
        </w:rPr>
      </w:pPr>
    </w:p>
    <w:p w14:paraId="19CA1A6E" w14:textId="04FFF4E1" w:rsidR="002451D8" w:rsidRPr="005C3E39" w:rsidRDefault="002451D8" w:rsidP="0063438F">
      <w:pPr>
        <w:rPr>
          <w:bCs/>
          <w:color w:val="000000"/>
          <w:sz w:val="22"/>
          <w:szCs w:val="22"/>
        </w:rPr>
      </w:pPr>
    </w:p>
    <w:p w14:paraId="2205FA33" w14:textId="77777777" w:rsidR="00F61B6F" w:rsidRPr="005C3E39" w:rsidRDefault="00F61B6F" w:rsidP="007B7481">
      <w:pPr>
        <w:jc w:val="both"/>
        <w:rPr>
          <w:szCs w:val="24"/>
        </w:rPr>
      </w:pPr>
      <w:r w:rsidRPr="005C3E39">
        <w:rPr>
          <w:szCs w:val="24"/>
        </w:rPr>
        <w:t xml:space="preserve">Прекращение признания кредиторской задолженности не осуществляется на основании экспертного (мотивированного) суждения Управляющей компании с приложением </w:t>
      </w:r>
      <w:r w:rsidRPr="005C3E39">
        <w:rPr>
          <w:szCs w:val="24"/>
        </w:rPr>
        <w:lastRenderedPageBreak/>
        <w:t>полученной информации от контрагента об обжаловании исключения из ЕГРЮЛ по решению регистрирующего органа. В случае получения контрагентом отказа от восстановления регистрационного учета в ЕГРЮЛ, кредиторская задолженность в отношении контрагента прекращает признаваться в ПИФ с даты получения информации о таком отказе.</w:t>
      </w:r>
    </w:p>
    <w:p w14:paraId="6A621967" w14:textId="77777777" w:rsidR="00F61B6F" w:rsidRPr="005C3E39" w:rsidRDefault="00F61B6F" w:rsidP="007B7481">
      <w:pPr>
        <w:rPr>
          <w:bCs/>
          <w:color w:val="000000"/>
          <w:sz w:val="22"/>
          <w:szCs w:val="22"/>
        </w:rPr>
      </w:pPr>
    </w:p>
    <w:p w14:paraId="2E6196F7" w14:textId="77777777" w:rsidR="002451D8" w:rsidRPr="005C3E39" w:rsidRDefault="00153864" w:rsidP="0072342E">
      <w:pPr>
        <w:jc w:val="both"/>
        <w:rPr>
          <w:szCs w:val="24"/>
        </w:rPr>
      </w:pPr>
      <w:r w:rsidRPr="005C3E39">
        <w:rPr>
          <w:szCs w:val="24"/>
        </w:rPr>
        <w:t xml:space="preserve">     </w:t>
      </w:r>
    </w:p>
    <w:p w14:paraId="387815C9" w14:textId="00F9A7A7" w:rsidR="00153864" w:rsidRPr="005C3E39" w:rsidRDefault="00F61B6F" w:rsidP="007B7481">
      <w:pPr>
        <w:jc w:val="both"/>
        <w:rPr>
          <w:szCs w:val="24"/>
        </w:rPr>
      </w:pPr>
      <w:r w:rsidRPr="005C3E39">
        <w:rPr>
          <w:b/>
          <w:i/>
          <w:szCs w:val="24"/>
        </w:rPr>
        <w:t>Справедливая стоимость кредиторской задолженности о</w:t>
      </w:r>
      <w:r w:rsidR="00153864" w:rsidRPr="005C3E39">
        <w:rPr>
          <w:b/>
          <w:i/>
          <w:szCs w:val="24"/>
        </w:rPr>
        <w:t>ценивается</w:t>
      </w:r>
      <w:r w:rsidR="00153864" w:rsidRPr="005C3E39">
        <w:rPr>
          <w:szCs w:val="24"/>
        </w:rPr>
        <w:t xml:space="preserve"> </w:t>
      </w:r>
      <w:r w:rsidR="00524AFE" w:rsidRPr="005C3E39">
        <w:rPr>
          <w:szCs w:val="24"/>
        </w:rPr>
        <w:t>в размере ее остатка на дату определения стоимости чистых активов</w:t>
      </w:r>
      <w:r w:rsidR="00153864" w:rsidRPr="005C3E39">
        <w:rPr>
          <w:szCs w:val="24"/>
        </w:rPr>
        <w:t xml:space="preserve"> и н</w:t>
      </w:r>
      <w:r w:rsidR="00524AFE" w:rsidRPr="005C3E39">
        <w:rPr>
          <w:szCs w:val="24"/>
        </w:rPr>
        <w:t>е дисконтируется</w:t>
      </w:r>
      <w:r w:rsidRPr="005C3E39">
        <w:rPr>
          <w:szCs w:val="24"/>
        </w:rPr>
        <w:t>.</w:t>
      </w:r>
      <w:r w:rsidR="00153864" w:rsidRPr="005C3E39">
        <w:rPr>
          <w:szCs w:val="24"/>
        </w:rPr>
        <w:t xml:space="preserve"> </w:t>
      </w:r>
    </w:p>
    <w:p w14:paraId="71E8918A" w14:textId="77777777" w:rsidR="00297DF7" w:rsidRPr="005C3E39" w:rsidRDefault="00297DF7" w:rsidP="0072342E">
      <w:pPr>
        <w:jc w:val="both"/>
        <w:rPr>
          <w:szCs w:val="24"/>
        </w:rPr>
      </w:pPr>
      <w:r w:rsidRPr="005C3E39">
        <w:rPr>
          <w:szCs w:val="24"/>
        </w:rPr>
        <w:t xml:space="preserve">          Если точная величина обязательства по договору не может быть надежно определена на дату определения СЧА, используется метод расчета по средней величине за последние 6 месяцев на основе статистики управляющей компании. При этом, если такой статистики нет</w:t>
      </w:r>
      <w:r w:rsidR="00AA40C4" w:rsidRPr="005C3E39">
        <w:rPr>
          <w:szCs w:val="24"/>
        </w:rPr>
        <w:t xml:space="preserve"> </w:t>
      </w:r>
      <w:r w:rsidRPr="005C3E39">
        <w:rPr>
          <w:szCs w:val="24"/>
        </w:rPr>
        <w:t xml:space="preserve">(например, сформирован новый ПИФ или заключен новый договор), то величина обязательства принимается к учету по факту получения документов. При </w:t>
      </w:r>
      <w:r w:rsidR="00AA40C4" w:rsidRPr="005C3E39">
        <w:rPr>
          <w:szCs w:val="24"/>
        </w:rPr>
        <w:t xml:space="preserve">наличии </w:t>
      </w:r>
      <w:r w:rsidRPr="005C3E39">
        <w:rPr>
          <w:szCs w:val="24"/>
        </w:rPr>
        <w:t>статистики за два и более месяца (но не более 6 месяцев) используется метод расчета по средней величине.</w:t>
      </w:r>
    </w:p>
    <w:p w14:paraId="02244CF4" w14:textId="77777777" w:rsidR="00153864" w:rsidRPr="005C3E39" w:rsidRDefault="00153864" w:rsidP="0072342E">
      <w:pPr>
        <w:jc w:val="both"/>
        <w:rPr>
          <w:szCs w:val="24"/>
        </w:rPr>
      </w:pPr>
    </w:p>
    <w:p w14:paraId="45A8DCD2" w14:textId="77777777" w:rsidR="00153864" w:rsidRPr="005C3E39" w:rsidRDefault="00153864" w:rsidP="0072342E">
      <w:pPr>
        <w:jc w:val="both"/>
        <w:rPr>
          <w:szCs w:val="24"/>
        </w:rPr>
      </w:pPr>
      <w:r w:rsidRPr="005C3E39">
        <w:rPr>
          <w:szCs w:val="24"/>
        </w:rPr>
        <w:t xml:space="preserve">   </w:t>
      </w:r>
      <w:r w:rsidRPr="005C3E39">
        <w:rPr>
          <w:rFonts w:hint="eastAsia"/>
          <w:szCs w:val="24"/>
        </w:rPr>
        <w:t>Иная</w:t>
      </w:r>
      <w:r w:rsidRPr="005C3E39">
        <w:rPr>
          <w:szCs w:val="24"/>
        </w:rPr>
        <w:t xml:space="preserve"> </w:t>
      </w:r>
      <w:r w:rsidRPr="005C3E39">
        <w:rPr>
          <w:rFonts w:hint="eastAsia"/>
          <w:szCs w:val="24"/>
        </w:rPr>
        <w:t>кредиторская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не</w:t>
      </w:r>
      <w:r w:rsidRPr="005C3E39">
        <w:rPr>
          <w:szCs w:val="24"/>
        </w:rPr>
        <w:t xml:space="preserve"> </w:t>
      </w:r>
      <w:r w:rsidRPr="005C3E39">
        <w:rPr>
          <w:rFonts w:hint="eastAsia"/>
          <w:szCs w:val="24"/>
        </w:rPr>
        <w:t>предусмотренная</w:t>
      </w:r>
      <w:r w:rsidRPr="005C3E39">
        <w:rPr>
          <w:szCs w:val="24"/>
        </w:rPr>
        <w:t xml:space="preserve"> </w:t>
      </w:r>
      <w:r w:rsidRPr="005C3E39">
        <w:rPr>
          <w:rFonts w:hint="eastAsia"/>
          <w:szCs w:val="24"/>
        </w:rPr>
        <w:t>настоя</w:t>
      </w:r>
      <w:r w:rsidRPr="005C3E39">
        <w:rPr>
          <w:szCs w:val="24"/>
        </w:rPr>
        <w:t xml:space="preserve">щим </w:t>
      </w:r>
      <w:r w:rsidRPr="005C3E39">
        <w:rPr>
          <w:rFonts w:hint="eastAsia"/>
          <w:szCs w:val="24"/>
        </w:rPr>
        <w:t>пункт</w:t>
      </w:r>
      <w:r w:rsidRPr="005C3E39">
        <w:rPr>
          <w:szCs w:val="24"/>
        </w:rPr>
        <w:t xml:space="preserve">ом, </w:t>
      </w:r>
      <w:r w:rsidRPr="005C3E39">
        <w:rPr>
          <w:rFonts w:hint="eastAsia"/>
          <w:szCs w:val="24"/>
        </w:rPr>
        <w:t>подлежащая</w:t>
      </w:r>
      <w:r w:rsidRPr="005C3E39">
        <w:rPr>
          <w:szCs w:val="24"/>
        </w:rPr>
        <w:t xml:space="preserve"> </w:t>
      </w:r>
      <w:r w:rsidRPr="005C3E39">
        <w:rPr>
          <w:rFonts w:hint="eastAsia"/>
          <w:szCs w:val="24"/>
        </w:rPr>
        <w:t>погашению</w:t>
      </w:r>
      <w:r w:rsidRPr="005C3E39">
        <w:rPr>
          <w:szCs w:val="24"/>
        </w:rPr>
        <w:t xml:space="preserve"> </w:t>
      </w:r>
      <w:r w:rsidRPr="005C3E39">
        <w:rPr>
          <w:rFonts w:hint="eastAsia"/>
          <w:szCs w:val="24"/>
        </w:rPr>
        <w:t>денежными</w:t>
      </w:r>
      <w:r w:rsidRPr="005C3E39">
        <w:rPr>
          <w:szCs w:val="24"/>
        </w:rPr>
        <w:t xml:space="preserve"> </w:t>
      </w:r>
      <w:r w:rsidRPr="005C3E39">
        <w:rPr>
          <w:rFonts w:hint="eastAsia"/>
          <w:szCs w:val="24"/>
        </w:rPr>
        <w:t>средствами</w:t>
      </w:r>
      <w:r w:rsidRPr="005C3E39">
        <w:rPr>
          <w:szCs w:val="24"/>
        </w:rPr>
        <w:t xml:space="preserve">, </w:t>
      </w:r>
      <w:r w:rsidRPr="005C3E39">
        <w:rPr>
          <w:rFonts w:hint="eastAsia"/>
          <w:szCs w:val="24"/>
        </w:rPr>
        <w:t>срок</w:t>
      </w:r>
      <w:r w:rsidRPr="005C3E39">
        <w:rPr>
          <w:szCs w:val="24"/>
        </w:rPr>
        <w:t xml:space="preserve"> </w:t>
      </w:r>
      <w:r w:rsidRPr="005C3E39">
        <w:rPr>
          <w:rFonts w:hint="eastAsia"/>
          <w:szCs w:val="24"/>
        </w:rPr>
        <w:t>исполнения</w:t>
      </w:r>
      <w:r w:rsidRPr="005C3E39">
        <w:rPr>
          <w:szCs w:val="24"/>
        </w:rPr>
        <w:t xml:space="preserve"> </w:t>
      </w:r>
      <w:r w:rsidRPr="005C3E39">
        <w:rPr>
          <w:rFonts w:hint="eastAsia"/>
          <w:szCs w:val="24"/>
        </w:rPr>
        <w:t>которой</w:t>
      </w:r>
      <w:r w:rsidRPr="005C3E39">
        <w:rPr>
          <w:szCs w:val="24"/>
        </w:rPr>
        <w:t xml:space="preserve"> </w:t>
      </w:r>
      <w:r w:rsidRPr="005C3E39">
        <w:rPr>
          <w:rFonts w:hint="eastAsia"/>
          <w:szCs w:val="24"/>
        </w:rPr>
        <w:t>в</w:t>
      </w:r>
      <w:r w:rsidRPr="005C3E39">
        <w:rPr>
          <w:szCs w:val="24"/>
        </w:rPr>
        <w:t xml:space="preserve"> </w:t>
      </w:r>
      <w:r w:rsidRPr="005C3E39">
        <w:rPr>
          <w:rFonts w:hint="eastAsia"/>
          <w:szCs w:val="24"/>
        </w:rPr>
        <w:t>момент</w:t>
      </w:r>
      <w:r w:rsidRPr="005C3E39">
        <w:rPr>
          <w:szCs w:val="24"/>
        </w:rPr>
        <w:t xml:space="preserve"> </w:t>
      </w:r>
      <w:r w:rsidRPr="005C3E39">
        <w:rPr>
          <w:rFonts w:hint="eastAsia"/>
          <w:szCs w:val="24"/>
        </w:rPr>
        <w:t>первоначального</w:t>
      </w:r>
      <w:r w:rsidRPr="005C3E39">
        <w:rPr>
          <w:szCs w:val="24"/>
        </w:rPr>
        <w:t xml:space="preserve"> </w:t>
      </w:r>
      <w:r w:rsidRPr="005C3E39">
        <w:rPr>
          <w:rFonts w:hint="eastAsia"/>
          <w:szCs w:val="24"/>
        </w:rPr>
        <w:t>признания</w:t>
      </w:r>
      <w:r w:rsidRPr="005C3E39">
        <w:rPr>
          <w:szCs w:val="24"/>
        </w:rPr>
        <w:t xml:space="preserve"> </w:t>
      </w:r>
      <w:r w:rsidRPr="005C3E39">
        <w:rPr>
          <w:rFonts w:hint="eastAsia"/>
          <w:szCs w:val="24"/>
        </w:rPr>
        <w:t>не</w:t>
      </w:r>
      <w:r w:rsidRPr="005C3E39">
        <w:rPr>
          <w:szCs w:val="24"/>
        </w:rPr>
        <w:t xml:space="preserve"> </w:t>
      </w:r>
      <w:r w:rsidRPr="005C3E39">
        <w:rPr>
          <w:rFonts w:hint="eastAsia"/>
          <w:szCs w:val="24"/>
        </w:rPr>
        <w:t>превышал</w:t>
      </w:r>
      <w:r w:rsidRPr="005C3E39">
        <w:rPr>
          <w:szCs w:val="24"/>
        </w:rPr>
        <w:t xml:space="preserve"> 180 дней, </w:t>
      </w:r>
      <w:r w:rsidRPr="005C3E39">
        <w:rPr>
          <w:rFonts w:hint="eastAsia"/>
          <w:szCs w:val="24"/>
        </w:rPr>
        <w:t>оценивается</w:t>
      </w:r>
      <w:r w:rsidRPr="005C3E39">
        <w:rPr>
          <w:szCs w:val="24"/>
        </w:rPr>
        <w:t xml:space="preserve"> </w:t>
      </w:r>
      <w:r w:rsidRPr="005C3E39">
        <w:rPr>
          <w:rFonts w:hint="eastAsia"/>
          <w:szCs w:val="24"/>
        </w:rPr>
        <w:t>в</w:t>
      </w:r>
      <w:r w:rsidRPr="005C3E39">
        <w:rPr>
          <w:szCs w:val="24"/>
        </w:rPr>
        <w:t xml:space="preserve"> фактической </w:t>
      </w:r>
      <w:r w:rsidRPr="005C3E39">
        <w:rPr>
          <w:rFonts w:hint="eastAsia"/>
          <w:szCs w:val="24"/>
        </w:rPr>
        <w:t>сумме</w:t>
      </w:r>
      <w:r w:rsidRPr="005C3E39">
        <w:rPr>
          <w:szCs w:val="24"/>
        </w:rPr>
        <w:t xml:space="preserve"> </w:t>
      </w:r>
      <w:r w:rsidRPr="005C3E39">
        <w:rPr>
          <w:rFonts w:hint="eastAsia"/>
          <w:szCs w:val="24"/>
        </w:rPr>
        <w:t>обязательства</w:t>
      </w:r>
      <w:r w:rsidRPr="005C3E39">
        <w:rPr>
          <w:szCs w:val="24"/>
        </w:rPr>
        <w:t xml:space="preserve">, </w:t>
      </w:r>
      <w:r w:rsidRPr="005C3E39">
        <w:rPr>
          <w:rFonts w:hint="eastAsia"/>
          <w:szCs w:val="24"/>
        </w:rPr>
        <w:t>подлежащего</w:t>
      </w:r>
      <w:r w:rsidRPr="005C3E39">
        <w:rPr>
          <w:szCs w:val="24"/>
        </w:rPr>
        <w:t xml:space="preserve"> </w:t>
      </w:r>
      <w:r w:rsidRPr="005C3E39">
        <w:rPr>
          <w:rFonts w:hint="eastAsia"/>
          <w:szCs w:val="24"/>
        </w:rPr>
        <w:t>оплате</w:t>
      </w:r>
      <w:r w:rsidRPr="005C3E39">
        <w:rPr>
          <w:szCs w:val="24"/>
        </w:rPr>
        <w:t xml:space="preserve"> </w:t>
      </w:r>
      <w:r w:rsidRPr="005C3E39">
        <w:rPr>
          <w:rFonts w:hint="eastAsia"/>
          <w:szCs w:val="24"/>
        </w:rPr>
        <w:t>Фондом</w:t>
      </w:r>
      <w:r w:rsidRPr="005C3E39">
        <w:rPr>
          <w:szCs w:val="24"/>
        </w:rPr>
        <w:t>.</w:t>
      </w:r>
    </w:p>
    <w:p w14:paraId="7A2C3642" w14:textId="77777777" w:rsidR="000E00C0" w:rsidRPr="005C3E39" w:rsidRDefault="00153864" w:rsidP="0072342E">
      <w:pPr>
        <w:jc w:val="both"/>
        <w:rPr>
          <w:szCs w:val="24"/>
        </w:rPr>
      </w:pPr>
      <w:r w:rsidRPr="005C3E39">
        <w:rPr>
          <w:szCs w:val="24"/>
        </w:rPr>
        <w:t xml:space="preserve">      Иная к</w:t>
      </w:r>
      <w:r w:rsidRPr="005C3E39">
        <w:rPr>
          <w:rFonts w:hint="eastAsia"/>
          <w:szCs w:val="24"/>
        </w:rPr>
        <w:t>редиторская</w:t>
      </w:r>
      <w:r w:rsidRPr="005C3E39">
        <w:rPr>
          <w:szCs w:val="24"/>
        </w:rPr>
        <w:t xml:space="preserve"> </w:t>
      </w:r>
      <w:r w:rsidRPr="005C3E39">
        <w:rPr>
          <w:rFonts w:hint="eastAsia"/>
          <w:szCs w:val="24"/>
        </w:rPr>
        <w:t>задолженность</w:t>
      </w:r>
      <w:r w:rsidRPr="005C3E39">
        <w:rPr>
          <w:szCs w:val="24"/>
        </w:rPr>
        <w:t xml:space="preserve">, </w:t>
      </w:r>
      <w:r w:rsidRPr="005C3E39">
        <w:rPr>
          <w:rFonts w:hint="eastAsia"/>
          <w:szCs w:val="24"/>
        </w:rPr>
        <w:t>подлежащая</w:t>
      </w:r>
      <w:r w:rsidRPr="005C3E39">
        <w:rPr>
          <w:szCs w:val="24"/>
        </w:rPr>
        <w:t xml:space="preserve"> </w:t>
      </w:r>
      <w:r w:rsidRPr="005C3E39">
        <w:rPr>
          <w:rFonts w:hint="eastAsia"/>
          <w:szCs w:val="24"/>
        </w:rPr>
        <w:t>погашению</w:t>
      </w:r>
      <w:r w:rsidRPr="005C3E39">
        <w:rPr>
          <w:szCs w:val="24"/>
        </w:rPr>
        <w:t xml:space="preserve"> </w:t>
      </w:r>
      <w:r w:rsidRPr="005C3E39">
        <w:rPr>
          <w:rFonts w:hint="eastAsia"/>
          <w:szCs w:val="24"/>
        </w:rPr>
        <w:t>денежными</w:t>
      </w:r>
      <w:r w:rsidRPr="005C3E39">
        <w:rPr>
          <w:szCs w:val="24"/>
        </w:rPr>
        <w:t xml:space="preserve"> </w:t>
      </w:r>
      <w:r w:rsidRPr="005C3E39">
        <w:rPr>
          <w:rFonts w:hint="eastAsia"/>
          <w:szCs w:val="24"/>
        </w:rPr>
        <w:t>средствами</w:t>
      </w:r>
      <w:r w:rsidRPr="005C3E39">
        <w:rPr>
          <w:szCs w:val="24"/>
        </w:rPr>
        <w:t xml:space="preserve">, </w:t>
      </w:r>
      <w:r w:rsidRPr="005C3E39">
        <w:rPr>
          <w:rFonts w:hint="eastAsia"/>
          <w:szCs w:val="24"/>
        </w:rPr>
        <w:t>срок</w:t>
      </w:r>
      <w:r w:rsidRPr="005C3E39">
        <w:rPr>
          <w:szCs w:val="24"/>
        </w:rPr>
        <w:t xml:space="preserve"> </w:t>
      </w:r>
      <w:r w:rsidRPr="005C3E39">
        <w:rPr>
          <w:rFonts w:hint="eastAsia"/>
          <w:szCs w:val="24"/>
        </w:rPr>
        <w:t>исполнения</w:t>
      </w:r>
      <w:r w:rsidRPr="005C3E39">
        <w:rPr>
          <w:szCs w:val="24"/>
        </w:rPr>
        <w:t xml:space="preserve"> </w:t>
      </w:r>
      <w:r w:rsidRPr="005C3E39">
        <w:rPr>
          <w:rFonts w:hint="eastAsia"/>
          <w:szCs w:val="24"/>
        </w:rPr>
        <w:t>которой</w:t>
      </w:r>
      <w:r w:rsidRPr="005C3E39">
        <w:rPr>
          <w:szCs w:val="24"/>
        </w:rPr>
        <w:t xml:space="preserve"> </w:t>
      </w:r>
      <w:r w:rsidRPr="005C3E39">
        <w:rPr>
          <w:rFonts w:hint="eastAsia"/>
          <w:szCs w:val="24"/>
        </w:rPr>
        <w:t>в</w:t>
      </w:r>
      <w:r w:rsidRPr="005C3E39">
        <w:rPr>
          <w:szCs w:val="24"/>
        </w:rPr>
        <w:t xml:space="preserve"> </w:t>
      </w:r>
      <w:r w:rsidRPr="005C3E39">
        <w:rPr>
          <w:rFonts w:hint="eastAsia"/>
          <w:szCs w:val="24"/>
        </w:rPr>
        <w:t>момент</w:t>
      </w:r>
      <w:r w:rsidRPr="005C3E39">
        <w:rPr>
          <w:szCs w:val="24"/>
        </w:rPr>
        <w:t xml:space="preserve"> </w:t>
      </w:r>
      <w:r w:rsidRPr="005C3E39">
        <w:rPr>
          <w:rFonts w:hint="eastAsia"/>
          <w:szCs w:val="24"/>
        </w:rPr>
        <w:t>первоначального</w:t>
      </w:r>
      <w:r w:rsidRPr="005C3E39">
        <w:rPr>
          <w:szCs w:val="24"/>
        </w:rPr>
        <w:t xml:space="preserve"> </w:t>
      </w:r>
      <w:r w:rsidRPr="005C3E39">
        <w:rPr>
          <w:rFonts w:hint="eastAsia"/>
          <w:szCs w:val="24"/>
        </w:rPr>
        <w:t>признания</w:t>
      </w:r>
      <w:r w:rsidRPr="005C3E39">
        <w:rPr>
          <w:szCs w:val="24"/>
        </w:rPr>
        <w:t xml:space="preserve"> </w:t>
      </w:r>
      <w:r w:rsidRPr="005C3E39">
        <w:rPr>
          <w:rFonts w:hint="eastAsia"/>
          <w:szCs w:val="24"/>
        </w:rPr>
        <w:t>более</w:t>
      </w:r>
      <w:r w:rsidRPr="005C3E39">
        <w:rPr>
          <w:szCs w:val="24"/>
        </w:rPr>
        <w:t xml:space="preserve"> 180, </w:t>
      </w:r>
      <w:r w:rsidRPr="005C3E39">
        <w:rPr>
          <w:rFonts w:hint="eastAsia"/>
          <w:szCs w:val="24"/>
        </w:rPr>
        <w:t>но</w:t>
      </w:r>
      <w:r w:rsidRPr="005C3E39">
        <w:rPr>
          <w:szCs w:val="24"/>
        </w:rPr>
        <w:t xml:space="preserve"> </w:t>
      </w:r>
      <w:r w:rsidRPr="005C3E39">
        <w:rPr>
          <w:rFonts w:hint="eastAsia"/>
          <w:szCs w:val="24"/>
        </w:rPr>
        <w:t>не</w:t>
      </w:r>
      <w:r w:rsidRPr="005C3E39">
        <w:rPr>
          <w:szCs w:val="24"/>
        </w:rPr>
        <w:t xml:space="preserve"> </w:t>
      </w:r>
      <w:r w:rsidRPr="005C3E39">
        <w:rPr>
          <w:rFonts w:hint="eastAsia"/>
          <w:szCs w:val="24"/>
        </w:rPr>
        <w:t>более</w:t>
      </w:r>
      <w:r w:rsidRPr="005C3E39">
        <w:rPr>
          <w:szCs w:val="24"/>
        </w:rPr>
        <w:t xml:space="preserve"> 366 </w:t>
      </w:r>
      <w:r w:rsidRPr="005C3E39">
        <w:rPr>
          <w:rFonts w:hint="eastAsia"/>
          <w:szCs w:val="24"/>
        </w:rPr>
        <w:t>дней</w:t>
      </w:r>
      <w:r w:rsidR="006749DA" w:rsidRPr="005C3E39">
        <w:rPr>
          <w:szCs w:val="24"/>
        </w:rPr>
        <w:t>.</w:t>
      </w:r>
    </w:p>
    <w:p w14:paraId="0D2A8E3F" w14:textId="18455591" w:rsidR="00EC01E4" w:rsidRPr="005C3E39" w:rsidRDefault="00EC01E4" w:rsidP="0072342E">
      <w:pPr>
        <w:jc w:val="both"/>
        <w:rPr>
          <w:szCs w:val="24"/>
        </w:rPr>
      </w:pPr>
      <w:r w:rsidRPr="005C3E39">
        <w:rPr>
          <w:szCs w:val="24"/>
        </w:rPr>
        <w:t xml:space="preserve">     </w:t>
      </w:r>
      <w:r w:rsidR="00153864" w:rsidRPr="005C3E39">
        <w:rPr>
          <w:szCs w:val="24"/>
        </w:rPr>
        <w:t xml:space="preserve">    </w:t>
      </w:r>
      <w:r w:rsidR="00153864" w:rsidRPr="005C3E39">
        <w:rPr>
          <w:rFonts w:hint="eastAsia"/>
          <w:szCs w:val="24"/>
        </w:rPr>
        <w:t>Иная</w:t>
      </w:r>
      <w:r w:rsidR="00153864" w:rsidRPr="005C3E39">
        <w:rPr>
          <w:szCs w:val="24"/>
        </w:rPr>
        <w:t xml:space="preserve"> </w:t>
      </w:r>
      <w:r w:rsidR="00153864" w:rsidRPr="005C3E39">
        <w:rPr>
          <w:rFonts w:hint="eastAsia"/>
          <w:szCs w:val="24"/>
        </w:rPr>
        <w:t>кредиторская</w:t>
      </w:r>
      <w:r w:rsidR="00153864" w:rsidRPr="005C3E39">
        <w:rPr>
          <w:szCs w:val="24"/>
        </w:rPr>
        <w:t xml:space="preserve"> </w:t>
      </w:r>
      <w:r w:rsidR="00153864" w:rsidRPr="005C3E39">
        <w:rPr>
          <w:rFonts w:hint="eastAsia"/>
          <w:szCs w:val="24"/>
        </w:rPr>
        <w:t>задолженность</w:t>
      </w:r>
      <w:r w:rsidR="00153864" w:rsidRPr="005C3E39">
        <w:rPr>
          <w:szCs w:val="24"/>
        </w:rPr>
        <w:t xml:space="preserve">, </w:t>
      </w:r>
      <w:r w:rsidR="00153864" w:rsidRPr="005C3E39">
        <w:rPr>
          <w:rFonts w:hint="eastAsia"/>
          <w:szCs w:val="24"/>
        </w:rPr>
        <w:t>подлежащая</w:t>
      </w:r>
      <w:r w:rsidR="00153864" w:rsidRPr="005C3E39">
        <w:rPr>
          <w:szCs w:val="24"/>
        </w:rPr>
        <w:t xml:space="preserve"> </w:t>
      </w:r>
      <w:r w:rsidR="00153864" w:rsidRPr="005C3E39">
        <w:rPr>
          <w:rFonts w:hint="eastAsia"/>
          <w:szCs w:val="24"/>
        </w:rPr>
        <w:t>погашению</w:t>
      </w:r>
      <w:r w:rsidR="00153864" w:rsidRPr="005C3E39">
        <w:rPr>
          <w:szCs w:val="24"/>
        </w:rPr>
        <w:t xml:space="preserve"> </w:t>
      </w:r>
      <w:r w:rsidR="00153864" w:rsidRPr="005C3E39">
        <w:rPr>
          <w:rFonts w:hint="eastAsia"/>
          <w:szCs w:val="24"/>
        </w:rPr>
        <w:t>дене</w:t>
      </w:r>
      <w:r w:rsidR="0059513B" w:rsidRPr="005C3E39">
        <w:rPr>
          <w:szCs w:val="24"/>
        </w:rPr>
        <w:t>жными средствами</w:t>
      </w:r>
      <w:r w:rsidR="00153864" w:rsidRPr="005C3E39">
        <w:rPr>
          <w:szCs w:val="24"/>
        </w:rPr>
        <w:t>,</w:t>
      </w:r>
      <w:r w:rsidR="006749DA" w:rsidRPr="005C3E39">
        <w:rPr>
          <w:szCs w:val="24"/>
        </w:rPr>
        <w:t xml:space="preserve"> </w:t>
      </w:r>
      <w:r w:rsidRPr="005C3E39">
        <w:rPr>
          <w:szCs w:val="24"/>
        </w:rPr>
        <w:t>оценивается по</w:t>
      </w:r>
      <w:r w:rsidR="00153864" w:rsidRPr="005C3E39">
        <w:rPr>
          <w:szCs w:val="24"/>
        </w:rPr>
        <w:t xml:space="preserve"> </w:t>
      </w:r>
      <w:r w:rsidRPr="005C3E39">
        <w:rPr>
          <w:szCs w:val="24"/>
        </w:rPr>
        <w:t xml:space="preserve">методу приведенной стоимости будущих денежных потоков </w:t>
      </w:r>
      <w:r w:rsidR="00DC60D2" w:rsidRPr="005C3E39">
        <w:rPr>
          <w:szCs w:val="24"/>
        </w:rPr>
        <w:t xml:space="preserve">(Приложение </w:t>
      </w:r>
      <w:r w:rsidR="005C3E39" w:rsidRPr="005C3E39">
        <w:rPr>
          <w:szCs w:val="24"/>
        </w:rPr>
        <w:t>1</w:t>
      </w:r>
      <w:r w:rsidR="00DC60D2" w:rsidRPr="005C3E39">
        <w:rPr>
          <w:szCs w:val="24"/>
        </w:rPr>
        <w:t xml:space="preserve">) </w:t>
      </w:r>
      <w:r w:rsidRPr="005C3E39">
        <w:rPr>
          <w:szCs w:val="24"/>
        </w:rPr>
        <w:t>с использованием ставки дисконтирования</w:t>
      </w:r>
      <w:r w:rsidR="000E058F" w:rsidRPr="005C3E39">
        <w:rPr>
          <w:szCs w:val="24"/>
        </w:rPr>
        <w:t xml:space="preserve"> ЭСП.</w:t>
      </w:r>
    </w:p>
    <w:p w14:paraId="349FBB90" w14:textId="7705D284" w:rsidR="009015E5" w:rsidRPr="005C3E39" w:rsidRDefault="009015E5" w:rsidP="0072342E">
      <w:pPr>
        <w:jc w:val="both"/>
        <w:rPr>
          <w:rFonts w:eastAsia="Calibri"/>
          <w:szCs w:val="24"/>
          <w:lang w:eastAsia="en-US"/>
        </w:rPr>
      </w:pPr>
    </w:p>
    <w:p w14:paraId="356A0B30" w14:textId="57FB0F3F" w:rsidR="00F61B6F" w:rsidRPr="005C3E39" w:rsidRDefault="00F61B6F" w:rsidP="0072342E">
      <w:pPr>
        <w:contextualSpacing/>
        <w:jc w:val="both"/>
        <w:rPr>
          <w:b/>
          <w:bCs/>
          <w:szCs w:val="24"/>
        </w:rPr>
      </w:pPr>
      <w:r w:rsidRPr="005C3E39">
        <w:rPr>
          <w:b/>
          <w:bCs/>
          <w:szCs w:val="24"/>
        </w:rPr>
        <w:t>Резерв на выплату вознаграждения</w:t>
      </w:r>
    </w:p>
    <w:p w14:paraId="5584C12C" w14:textId="60F3944B" w:rsidR="00F61B6F" w:rsidRPr="005C3E39" w:rsidRDefault="00F61B6F" w:rsidP="0072342E">
      <w:pPr>
        <w:jc w:val="both"/>
        <w:rPr>
          <w:rFonts w:eastAsia="Calibri"/>
          <w:szCs w:val="24"/>
          <w:lang w:eastAsia="en-US"/>
        </w:rPr>
      </w:pPr>
    </w:p>
    <w:p w14:paraId="7B8CDCE1" w14:textId="20A41E10" w:rsidR="00F61B6F" w:rsidRPr="005C3E39" w:rsidRDefault="00F61B6F" w:rsidP="0072342E">
      <w:pPr>
        <w:jc w:val="both"/>
        <w:rPr>
          <w:rFonts w:eastAsia="Calibri"/>
          <w:i/>
          <w:szCs w:val="24"/>
          <w:u w:val="single"/>
          <w:lang w:eastAsia="en-US"/>
        </w:rPr>
      </w:pPr>
      <w:r w:rsidRPr="005C3E39">
        <w:rPr>
          <w:rFonts w:eastAsia="Calibri"/>
          <w:i/>
          <w:szCs w:val="24"/>
          <w:u w:val="single"/>
          <w:lang w:eastAsia="en-US"/>
        </w:rPr>
        <w:t>Критерии признания</w:t>
      </w:r>
    </w:p>
    <w:p w14:paraId="53221910" w14:textId="5E285F11" w:rsidR="00F61B6F" w:rsidRPr="005C3E39" w:rsidRDefault="00F61B6F" w:rsidP="0072342E">
      <w:pPr>
        <w:jc w:val="both"/>
        <w:rPr>
          <w:rFonts w:eastAsia="Calibri"/>
          <w:szCs w:val="24"/>
          <w:lang w:eastAsia="en-US"/>
        </w:rPr>
      </w:pPr>
    </w:p>
    <w:p w14:paraId="66E54B9A" w14:textId="77777777" w:rsidR="00F61B6F" w:rsidRPr="005C3E39" w:rsidRDefault="00F61B6F" w:rsidP="00F61B6F">
      <w:pPr>
        <w:jc w:val="both"/>
        <w:rPr>
          <w:szCs w:val="24"/>
        </w:rPr>
      </w:pPr>
      <w:r w:rsidRPr="005C3E39">
        <w:rPr>
          <w:szCs w:val="24"/>
        </w:rPr>
        <w:t>Наличие порядка определения резерва и условия его отражения в обязательствах в соответствии с настоящими Правилами определения СЧА ПИФ</w:t>
      </w:r>
    </w:p>
    <w:p w14:paraId="4DD3EA5D" w14:textId="79FDA85A" w:rsidR="00F61B6F" w:rsidRPr="005C3E39" w:rsidRDefault="00F61B6F" w:rsidP="0072342E">
      <w:pPr>
        <w:jc w:val="both"/>
        <w:rPr>
          <w:rFonts w:eastAsia="Calibri"/>
          <w:szCs w:val="24"/>
          <w:lang w:eastAsia="en-US"/>
        </w:rPr>
      </w:pPr>
    </w:p>
    <w:p w14:paraId="1330831A" w14:textId="7E2D42C0" w:rsidR="00F61B6F" w:rsidRPr="005C3E39" w:rsidRDefault="00F61B6F" w:rsidP="0072342E">
      <w:pPr>
        <w:jc w:val="both"/>
        <w:rPr>
          <w:rFonts w:eastAsia="Calibri"/>
          <w:i/>
          <w:szCs w:val="24"/>
          <w:u w:val="single"/>
          <w:lang w:eastAsia="en-US"/>
        </w:rPr>
      </w:pPr>
      <w:r w:rsidRPr="005C3E39">
        <w:rPr>
          <w:rFonts w:eastAsia="Calibri"/>
          <w:i/>
          <w:szCs w:val="24"/>
          <w:u w:val="single"/>
          <w:lang w:eastAsia="en-US"/>
        </w:rPr>
        <w:t xml:space="preserve">Критерии прекращения признания </w:t>
      </w:r>
    </w:p>
    <w:p w14:paraId="2966B803" w14:textId="64AE1318" w:rsidR="00F61B6F" w:rsidRPr="005C3E39" w:rsidRDefault="00F61B6F" w:rsidP="0072342E">
      <w:pPr>
        <w:jc w:val="both"/>
        <w:rPr>
          <w:rFonts w:eastAsia="Calibri"/>
          <w:szCs w:val="24"/>
          <w:lang w:eastAsia="en-US"/>
        </w:rPr>
      </w:pPr>
    </w:p>
    <w:p w14:paraId="260BE33C" w14:textId="2518C1EC" w:rsidR="00F61B6F" w:rsidRPr="005C3E39" w:rsidRDefault="00F61B6F" w:rsidP="007B7481">
      <w:pPr>
        <w:framePr w:hSpace="180" w:wrap="around" w:vAnchor="text" w:hAnchor="page" w:x="508" w:y="1"/>
        <w:jc w:val="both"/>
        <w:rPr>
          <w:szCs w:val="24"/>
        </w:rPr>
      </w:pPr>
      <w:bookmarkStart w:id="13" w:name="_Hlk213418568"/>
      <w:r w:rsidRPr="005C3E39">
        <w:rPr>
          <w:rFonts w:ascii="Verdana" w:hAnsi="Verdana"/>
          <w:bCs/>
          <w:color w:val="000000"/>
          <w:sz w:val="20"/>
        </w:rPr>
        <w:t xml:space="preserve">      </w:t>
      </w:r>
      <w:r w:rsidRPr="005C3E39">
        <w:rPr>
          <w:szCs w:val="24"/>
        </w:rPr>
        <w:t>-В дату полного использования резерва на выплату вознаграждения</w:t>
      </w:r>
    </w:p>
    <w:p w14:paraId="31192A39" w14:textId="3AF4E552" w:rsidR="00F61B6F" w:rsidRPr="005C3E39" w:rsidRDefault="00F61B6F" w:rsidP="007B7481">
      <w:pPr>
        <w:framePr w:hSpace="180" w:wrap="around" w:vAnchor="text" w:hAnchor="page" w:x="508" w:y="1"/>
        <w:jc w:val="both"/>
        <w:rPr>
          <w:szCs w:val="24"/>
        </w:rPr>
      </w:pPr>
      <w:r w:rsidRPr="005C3E39">
        <w:rPr>
          <w:szCs w:val="24"/>
        </w:rPr>
        <w:t xml:space="preserve">      - По окончании отчетного года после восстановления  неиспользованного резерва в соответствии с настоящими Правилами определения СЧА ПИФ</w:t>
      </w:r>
      <w:bookmarkEnd w:id="13"/>
    </w:p>
    <w:p w14:paraId="481FDA5C" w14:textId="2AE6F0FE" w:rsidR="007B7481" w:rsidRPr="005C3E39" w:rsidRDefault="007B7481" w:rsidP="007B7481">
      <w:pPr>
        <w:jc w:val="both"/>
        <w:rPr>
          <w:szCs w:val="24"/>
        </w:rPr>
      </w:pPr>
      <w:r w:rsidRPr="005C3E39">
        <w:rPr>
          <w:szCs w:val="24"/>
        </w:rPr>
        <w:t>Справедливая стоимость обязательств, включается в расчет СЧА в сумме, определенной в соответствии с п. 2 настоящих Правил.</w:t>
      </w:r>
    </w:p>
    <w:p w14:paraId="4E1E01EC" w14:textId="77777777" w:rsidR="007B7481" w:rsidRPr="005C3E39" w:rsidRDefault="007B7481" w:rsidP="001C2B7D">
      <w:pPr>
        <w:pStyle w:val="12"/>
        <w:tabs>
          <w:tab w:val="left" w:pos="993"/>
        </w:tabs>
        <w:ind w:left="0"/>
        <w:jc w:val="both"/>
        <w:rPr>
          <w:b/>
          <w:szCs w:val="24"/>
        </w:rPr>
      </w:pPr>
    </w:p>
    <w:p w14:paraId="549E2725" w14:textId="77777777" w:rsidR="00EC149B" w:rsidRPr="005C3E39" w:rsidRDefault="00EC149B" w:rsidP="001C2B7D">
      <w:pPr>
        <w:pStyle w:val="12"/>
        <w:tabs>
          <w:tab w:val="left" w:pos="993"/>
        </w:tabs>
        <w:ind w:left="0"/>
        <w:jc w:val="both"/>
        <w:rPr>
          <w:b/>
          <w:i/>
          <w:szCs w:val="24"/>
        </w:rPr>
      </w:pPr>
      <w:r w:rsidRPr="005C3E39">
        <w:rPr>
          <w:b/>
          <w:i/>
          <w:szCs w:val="24"/>
        </w:rPr>
        <w:t xml:space="preserve">Определение ставки ЭСП для  дебиторской и кредиторской задолженности </w:t>
      </w:r>
    </w:p>
    <w:p w14:paraId="52508ABC" w14:textId="77777777" w:rsidR="00EC149B" w:rsidRPr="005C3E39" w:rsidRDefault="006E51D8" w:rsidP="001C2B7D">
      <w:pPr>
        <w:pStyle w:val="12"/>
        <w:tabs>
          <w:tab w:val="left" w:pos="993"/>
        </w:tabs>
        <w:ind w:left="0"/>
        <w:jc w:val="both"/>
        <w:rPr>
          <w:szCs w:val="24"/>
        </w:rPr>
      </w:pPr>
      <w:r w:rsidRPr="005C3E39">
        <w:rPr>
          <w:szCs w:val="24"/>
        </w:rPr>
        <w:t xml:space="preserve">Ставка ЭСП </w:t>
      </w:r>
      <w:r w:rsidR="00EC149B" w:rsidRPr="005C3E39">
        <w:rPr>
          <w:szCs w:val="24"/>
        </w:rPr>
        <w:t>о</w:t>
      </w:r>
      <w:r w:rsidRPr="005C3E39">
        <w:rPr>
          <w:szCs w:val="24"/>
        </w:rPr>
        <w:t>п</w:t>
      </w:r>
      <w:r w:rsidR="00EC149B" w:rsidRPr="005C3E39">
        <w:rPr>
          <w:szCs w:val="24"/>
        </w:rPr>
        <w:t>ределяется:</w:t>
      </w:r>
    </w:p>
    <w:p w14:paraId="76E73565" w14:textId="77777777" w:rsidR="00EC149B" w:rsidRPr="005C3E39" w:rsidRDefault="002B470C" w:rsidP="0072342E">
      <w:pPr>
        <w:ind w:left="-5"/>
        <w:rPr>
          <w:szCs w:val="24"/>
        </w:rPr>
      </w:pPr>
      <m:oMathPara>
        <m:oMath>
          <m:nary>
            <m:naryPr>
              <m:chr m:val="∑"/>
              <m:limLoc m:val="undOvr"/>
              <m:ctrlPr>
                <w:rPr>
                  <w:rFonts w:ascii="Cambria Math" w:hAnsi="Cambria Math"/>
                  <w:i/>
                  <w:szCs w:val="24"/>
                  <w:lang w:eastAsia="en-US"/>
                </w:rPr>
              </m:ctrlPr>
            </m:naryPr>
            <m:sub>
              <m:r>
                <w:rPr>
                  <w:rFonts w:ascii="Cambria Math" w:hAnsi="Cambria Math"/>
                  <w:szCs w:val="24"/>
                </w:rPr>
                <m:t>i=0</m:t>
              </m:r>
            </m:sub>
            <m:sup>
              <m:r>
                <w:rPr>
                  <w:rFonts w:ascii="Cambria Math" w:hAnsi="Cambria Math"/>
                  <w:szCs w:val="24"/>
                  <w:lang w:val="en-US"/>
                </w:rPr>
                <m:t>N</m:t>
              </m:r>
            </m:sup>
            <m:e>
              <m:f>
                <m:fPr>
                  <m:ctrlPr>
                    <w:rPr>
                      <w:rFonts w:ascii="Cambria Math" w:hAnsi="Cambria Math"/>
                      <w:i/>
                      <w:szCs w:val="24"/>
                      <w:lang w:eastAsia="en-US"/>
                    </w:rPr>
                  </m:ctrlPr>
                </m:fPr>
                <m:num>
                  <m:sSub>
                    <m:sSubPr>
                      <m:ctrlPr>
                        <w:rPr>
                          <w:rFonts w:ascii="Cambria Math" w:hAnsi="Cambria Math"/>
                          <w:i/>
                          <w:szCs w:val="24"/>
                          <w:lang w:val="en-US" w:eastAsia="en-US"/>
                        </w:rPr>
                      </m:ctrlPr>
                    </m:sSubPr>
                    <m:e>
                      <m:r>
                        <w:rPr>
                          <w:rFonts w:ascii="Cambria Math" w:hAnsi="Cambria Math"/>
                          <w:szCs w:val="24"/>
                          <w:lang w:val="en-US"/>
                        </w:rPr>
                        <m:t>CF</m:t>
                      </m:r>
                    </m:e>
                    <m:sub>
                      <m:r>
                        <w:rPr>
                          <w:rFonts w:ascii="Cambria Math" w:hAnsi="Cambria Math"/>
                          <w:szCs w:val="24"/>
                          <w:lang w:val="en-US"/>
                        </w:rPr>
                        <m:t>i</m:t>
                      </m:r>
                    </m:sub>
                  </m:sSub>
                </m:num>
                <m:den>
                  <m:sSup>
                    <m:sSupPr>
                      <m:ctrlPr>
                        <w:rPr>
                          <w:rFonts w:ascii="Cambria Math" w:hAnsi="Cambria Math"/>
                          <w:i/>
                          <w:szCs w:val="24"/>
                          <w:lang w:eastAsia="en-US"/>
                        </w:rPr>
                      </m:ctrlPr>
                    </m:sSupPr>
                    <m:e>
                      <m:r>
                        <w:rPr>
                          <w:rFonts w:ascii="Cambria Math" w:hAnsi="Cambria Math"/>
                          <w:szCs w:val="24"/>
                        </w:rPr>
                        <m:t>(1+ЭСП)</m:t>
                      </m:r>
                    </m:e>
                    <m:sup>
                      <m:f>
                        <m:fPr>
                          <m:ctrlPr>
                            <w:rPr>
                              <w:rFonts w:ascii="Cambria Math" w:hAnsi="Cambria Math"/>
                              <w:i/>
                              <w:szCs w:val="24"/>
                              <w:lang w:val="en-US" w:eastAsia="en-US"/>
                            </w:rPr>
                          </m:ctrlPr>
                        </m:fPr>
                        <m:num>
                          <m:sSub>
                            <m:sSubPr>
                              <m:ctrlPr>
                                <w:rPr>
                                  <w:rFonts w:ascii="Cambria Math" w:hAnsi="Cambria Math"/>
                                  <w:i/>
                                  <w:szCs w:val="24"/>
                                  <w:lang w:val="en-US" w:eastAsia="en-US"/>
                                </w:rPr>
                              </m:ctrlPr>
                            </m:sSubPr>
                            <m:e>
                              <m:r>
                                <w:rPr>
                                  <w:rFonts w:ascii="Cambria Math" w:hAnsi="Cambria Math"/>
                                  <w:szCs w:val="24"/>
                                  <w:lang w:val="en-US"/>
                                </w:rPr>
                                <m:t>t</m:t>
                              </m:r>
                            </m:e>
                            <m:sub>
                              <m:r>
                                <w:rPr>
                                  <w:rFonts w:ascii="Cambria Math" w:hAnsi="Cambria Math"/>
                                  <w:szCs w:val="24"/>
                                  <w:lang w:val="en-US"/>
                                </w:rPr>
                                <m:t>i-</m:t>
                              </m:r>
                            </m:sub>
                          </m:sSub>
                          <m:sSub>
                            <m:sSubPr>
                              <m:ctrlPr>
                                <w:rPr>
                                  <w:rFonts w:ascii="Cambria Math" w:hAnsi="Cambria Math"/>
                                  <w:i/>
                                  <w:szCs w:val="24"/>
                                  <w:lang w:val="en-US" w:eastAsia="en-US"/>
                                </w:rPr>
                              </m:ctrlPr>
                            </m:sSubPr>
                            <m:e>
                              <m:r>
                                <w:rPr>
                                  <w:rFonts w:ascii="Cambria Math" w:hAnsi="Cambria Math"/>
                                  <w:szCs w:val="24"/>
                                  <w:lang w:val="en-US"/>
                                </w:rPr>
                                <m:t>t</m:t>
                              </m:r>
                            </m:e>
                            <m:sub>
                              <m:r>
                                <w:rPr>
                                  <w:rFonts w:ascii="Cambria Math" w:hAnsi="Cambria Math"/>
                                  <w:szCs w:val="24"/>
                                  <w:lang w:val="en-US"/>
                                </w:rPr>
                                <m:t>0</m:t>
                              </m:r>
                            </m:sub>
                          </m:sSub>
                        </m:num>
                        <m:den>
                          <m:r>
                            <w:rPr>
                              <w:rFonts w:ascii="Cambria Math" w:hAnsi="Cambria Math"/>
                              <w:szCs w:val="24"/>
                              <w:lang w:val="en-US"/>
                            </w:rPr>
                            <m:t>365</m:t>
                          </m:r>
                        </m:den>
                      </m:f>
                    </m:sup>
                  </m:sSup>
                </m:den>
              </m:f>
              <m:r>
                <w:rPr>
                  <w:rFonts w:ascii="Cambria Math" w:hAnsi="Cambria Math"/>
                  <w:szCs w:val="24"/>
                </w:rPr>
                <m:t>=0</m:t>
              </m:r>
            </m:e>
          </m:nary>
        </m:oMath>
      </m:oMathPara>
    </w:p>
    <w:p w14:paraId="1EF86180" w14:textId="77777777" w:rsidR="00EC149B" w:rsidRPr="005C3E39" w:rsidRDefault="00EC149B" w:rsidP="0072342E">
      <w:pPr>
        <w:ind w:left="-5"/>
        <w:rPr>
          <w:szCs w:val="24"/>
        </w:rPr>
      </w:pPr>
      <w:r w:rsidRPr="005C3E39">
        <w:rPr>
          <w:szCs w:val="24"/>
        </w:rPr>
        <w:t xml:space="preserve">где: </w:t>
      </w:r>
    </w:p>
    <w:p w14:paraId="39C11E14" w14:textId="77777777" w:rsidR="00EC149B" w:rsidRPr="005C3E39" w:rsidRDefault="00EC149B" w:rsidP="0072342E">
      <w:pPr>
        <w:jc w:val="both"/>
        <w:rPr>
          <w:szCs w:val="24"/>
        </w:rPr>
      </w:pPr>
      <m:oMath>
        <m:r>
          <m:rPr>
            <m:sty m:val="p"/>
          </m:rPr>
          <w:rPr>
            <w:rFonts w:ascii="Cambria Math" w:hAnsi="Cambria Math"/>
            <w:szCs w:val="24"/>
          </w:rPr>
          <m:t>ЭСП</m:t>
        </m:r>
      </m:oMath>
      <w:r w:rsidRPr="005C3E39">
        <w:rPr>
          <w:szCs w:val="24"/>
        </w:rPr>
        <w:t xml:space="preserve"> – эффективная ставка процента (производится округление до </w:t>
      </w:r>
      <w:r w:rsidR="00B33A07" w:rsidRPr="005C3E39">
        <w:rPr>
          <w:szCs w:val="24"/>
        </w:rPr>
        <w:t>6</w:t>
      </w:r>
      <w:r w:rsidRPr="005C3E39">
        <w:rPr>
          <w:szCs w:val="24"/>
        </w:rPr>
        <w:t xml:space="preserve"> знаков после запятой), </w:t>
      </w:r>
    </w:p>
    <w:p w14:paraId="40ABB00B" w14:textId="77777777" w:rsidR="00EC149B" w:rsidRPr="005C3E39" w:rsidRDefault="00EC149B" w:rsidP="0072342E">
      <w:pPr>
        <w:jc w:val="both"/>
        <w:rPr>
          <w:szCs w:val="24"/>
        </w:rPr>
      </w:pPr>
      <m:oMath>
        <m:r>
          <m:rPr>
            <m:sty m:val="p"/>
          </m:rPr>
          <w:rPr>
            <w:rFonts w:ascii="Cambria Math" w:hAnsi="Cambria Math"/>
            <w:szCs w:val="24"/>
          </w:rPr>
          <m:t>N</m:t>
        </m:r>
      </m:oMath>
      <w:r w:rsidRPr="005C3E39">
        <w:rPr>
          <w:szCs w:val="24"/>
        </w:rPr>
        <w:t xml:space="preserve"> – количество оставшихся на дату оценки денежных потоков по договору,</w:t>
      </w:r>
    </w:p>
    <w:p w14:paraId="158D7A7A" w14:textId="77777777" w:rsidR="00EC149B" w:rsidRPr="005C3E39" w:rsidRDefault="002B470C" w:rsidP="0072342E">
      <w:pPr>
        <w:jc w:val="both"/>
        <w:rPr>
          <w:szCs w:val="24"/>
        </w:rPr>
      </w:pPr>
      <m:oMath>
        <m:sSub>
          <m:sSubPr>
            <m:ctrlPr>
              <w:rPr>
                <w:rFonts w:ascii="Cambria Math" w:hAnsi="Cambria Math"/>
                <w:szCs w:val="24"/>
              </w:rPr>
            </m:ctrlPr>
          </m:sSubPr>
          <m:e>
            <m:r>
              <m:rPr>
                <m:sty m:val="p"/>
              </m:rPr>
              <w:rPr>
                <w:rFonts w:ascii="Cambria Math" w:hAnsi="Cambria Math"/>
                <w:szCs w:val="24"/>
              </w:rPr>
              <m:t>CF</m:t>
            </m:r>
          </m:e>
          <m:sub>
            <m:r>
              <m:rPr>
                <m:sty m:val="p"/>
              </m:rPr>
              <w:rPr>
                <w:rFonts w:ascii="Cambria Math" w:hAnsi="Cambria Math"/>
                <w:szCs w:val="24"/>
              </w:rPr>
              <m:t>i</m:t>
            </m:r>
          </m:sub>
        </m:sSub>
      </m:oMath>
      <w:r w:rsidR="00EC149B" w:rsidRPr="005C3E39">
        <w:rPr>
          <w:szCs w:val="24"/>
        </w:rPr>
        <w:t xml:space="preserve"> – величина i-го денежного потока,</w:t>
      </w:r>
    </w:p>
    <w:p w14:paraId="6FA0640C" w14:textId="77777777" w:rsidR="00EC149B" w:rsidRPr="005C3E39" w:rsidRDefault="002B470C" w:rsidP="0072342E">
      <w:pPr>
        <w:jc w:val="both"/>
        <w:rPr>
          <w:szCs w:val="24"/>
        </w:rPr>
      </w:pPr>
      <m:oMath>
        <m:sSub>
          <m:sSubPr>
            <m:ctrlPr>
              <w:rPr>
                <w:rFonts w:ascii="Cambria Math" w:hAnsi="Cambria Math"/>
                <w:szCs w:val="24"/>
              </w:rPr>
            </m:ctrlPr>
          </m:sSubPr>
          <m:e>
            <m:r>
              <m:rPr>
                <m:sty m:val="p"/>
              </m:rPr>
              <w:rPr>
                <w:rFonts w:ascii="Cambria Math" w:hAnsi="Cambria Math"/>
                <w:szCs w:val="24"/>
              </w:rPr>
              <m:t>t</m:t>
            </m:r>
          </m:e>
          <m:sub>
            <m:r>
              <m:rPr>
                <m:sty m:val="p"/>
              </m:rPr>
              <w:rPr>
                <w:rFonts w:ascii="Cambria Math" w:hAnsi="Cambria Math"/>
                <w:szCs w:val="24"/>
              </w:rPr>
              <m:t>i</m:t>
            </m:r>
          </m:sub>
        </m:sSub>
      </m:oMath>
      <w:r w:rsidR="00EC149B" w:rsidRPr="005C3E39">
        <w:rPr>
          <w:szCs w:val="24"/>
        </w:rPr>
        <w:t xml:space="preserve"> – дата i-го платежа,</w:t>
      </w:r>
    </w:p>
    <w:p w14:paraId="772B165E" w14:textId="77777777" w:rsidR="00EC149B" w:rsidRPr="005C3E39" w:rsidRDefault="002B470C" w:rsidP="0072342E">
      <w:pPr>
        <w:jc w:val="both"/>
        <w:rPr>
          <w:szCs w:val="24"/>
        </w:rPr>
      </w:pPr>
      <m:oMath>
        <m:sSub>
          <m:sSubPr>
            <m:ctrlPr>
              <w:rPr>
                <w:rFonts w:ascii="Cambria Math" w:hAnsi="Cambria Math"/>
                <w:szCs w:val="24"/>
              </w:rPr>
            </m:ctrlPr>
          </m:sSubPr>
          <m:e>
            <m:r>
              <m:rPr>
                <m:sty m:val="p"/>
              </m:rPr>
              <w:rPr>
                <w:rFonts w:ascii="Cambria Math" w:hAnsi="Cambria Math"/>
                <w:szCs w:val="24"/>
              </w:rPr>
              <m:t>t</m:t>
            </m:r>
          </m:e>
          <m:sub>
            <m:r>
              <m:rPr>
                <m:sty m:val="p"/>
              </m:rPr>
              <w:rPr>
                <w:rFonts w:ascii="Cambria Math" w:hAnsi="Cambria Math"/>
                <w:szCs w:val="24"/>
              </w:rPr>
              <m:t>0</m:t>
            </m:r>
          </m:sub>
        </m:sSub>
      </m:oMath>
      <w:r w:rsidR="00EC149B" w:rsidRPr="005C3E39">
        <w:rPr>
          <w:szCs w:val="24"/>
        </w:rPr>
        <w:t xml:space="preserve"> – дата оценки.</w:t>
      </w:r>
    </w:p>
    <w:p w14:paraId="4B0617A6" w14:textId="77777777" w:rsidR="00EC149B" w:rsidRPr="005C3E39" w:rsidRDefault="00EC149B" w:rsidP="0072342E">
      <w:pPr>
        <w:jc w:val="both"/>
        <w:rPr>
          <w:szCs w:val="24"/>
        </w:rPr>
      </w:pPr>
    </w:p>
    <w:p w14:paraId="43C60CC0" w14:textId="77777777" w:rsidR="000E058F" w:rsidRPr="005C3E39" w:rsidRDefault="000E058F" w:rsidP="0072342E">
      <w:pPr>
        <w:jc w:val="both"/>
        <w:rPr>
          <w:szCs w:val="24"/>
        </w:rPr>
      </w:pPr>
      <w:r w:rsidRPr="005C3E39">
        <w:rPr>
          <w:szCs w:val="24"/>
        </w:rPr>
        <w:lastRenderedPageBreak/>
        <w:t>ЭСП по дебиторской и кредиторской задолженности на дату ее определения подлежит проверке на соответствие рыночным условиям.</w:t>
      </w:r>
      <w:r w:rsidR="00EA72B7" w:rsidRPr="005C3E39">
        <w:t xml:space="preserve"> </w:t>
      </w:r>
    </w:p>
    <w:p w14:paraId="1FE40C9A" w14:textId="77777777" w:rsidR="000E058F" w:rsidRPr="005C3E39" w:rsidRDefault="000E058F" w:rsidP="0072342E">
      <w:pPr>
        <w:ind w:firstLine="426"/>
        <w:rPr>
          <w:szCs w:val="24"/>
        </w:rPr>
      </w:pPr>
    </w:p>
    <w:p w14:paraId="0AC4242D" w14:textId="77777777" w:rsidR="000E058F" w:rsidRPr="005C3E39" w:rsidRDefault="002B470C" w:rsidP="0072342E">
      <w:pPr>
        <w:ind w:firstLine="426"/>
        <w:rPr>
          <w:szCs w:val="24"/>
        </w:rPr>
      </w:pP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оц.ср.рын.</m:t>
            </m:r>
          </m:sub>
        </m:sSub>
      </m:oMath>
      <w:r w:rsidR="000E058F" w:rsidRPr="005C3E39">
        <w:rPr>
          <w:szCs w:val="24"/>
        </w:rPr>
        <w:t xml:space="preserve"> – оценка средневзвешенной рыночной процентной ставки, определенная по формуле (округление до 2 знаков после запятой</w:t>
      </w:r>
      <w:r w:rsidR="000E058F" w:rsidRPr="005C3E39">
        <w:t>)</w:t>
      </w:r>
      <w:r w:rsidR="000E058F" w:rsidRPr="005C3E39">
        <w:rPr>
          <w:szCs w:val="24"/>
        </w:rPr>
        <w:t>:</w:t>
      </w:r>
    </w:p>
    <w:p w14:paraId="21AC769D" w14:textId="77777777" w:rsidR="000E058F" w:rsidRPr="005C3E39" w:rsidRDefault="002B470C" w:rsidP="0072342E">
      <w:pPr>
        <w:spacing w:before="120"/>
        <w:ind w:firstLine="426"/>
        <w:jc w:val="center"/>
        <w:rPr>
          <w:szCs w:val="24"/>
        </w:rPr>
      </w:pP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оц.ср.рын.</m:t>
            </m:r>
          </m:sub>
        </m:sSub>
        <m:r>
          <w:rPr>
            <w:rFonts w:ascii="Cambria Math" w:hAnsi="Cambria Math"/>
            <w:szCs w:val="24"/>
          </w:rPr>
          <m:t>=</m:t>
        </m:r>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ср.рын.</m:t>
            </m:r>
          </m:sub>
        </m:sSub>
        <m:r>
          <w:rPr>
            <w:rFonts w:ascii="Cambria Math" w:hAnsi="Cambria Math"/>
            <w:szCs w:val="24"/>
          </w:rPr>
          <m:t>+</m:t>
        </m:r>
        <m:sSub>
          <m:sSubPr>
            <m:ctrlPr>
              <w:rPr>
                <w:rFonts w:ascii="Cambria Math" w:hAnsi="Cambria Math"/>
                <w:i/>
                <w:szCs w:val="24"/>
                <w:lang w:eastAsia="en-US"/>
              </w:rPr>
            </m:ctrlPr>
          </m:sSubPr>
          <m:e>
            <m:r>
              <w:rPr>
                <w:rFonts w:ascii="Cambria Math" w:hAnsi="Cambria Math"/>
                <w:szCs w:val="24"/>
              </w:rPr>
              <m:t>(КС</m:t>
            </m:r>
          </m:e>
          <m:sub>
            <m:r>
              <w:rPr>
                <w:rFonts w:ascii="Cambria Math" w:hAnsi="Cambria Math"/>
                <w:szCs w:val="24"/>
              </w:rPr>
              <m:t>д.о.</m:t>
            </m:r>
          </m:sub>
        </m:sSub>
        <m:r>
          <w:rPr>
            <w:rFonts w:ascii="Cambria Math" w:hAnsi="Cambria Math"/>
            <w:szCs w:val="24"/>
          </w:rPr>
          <m:t>-</m:t>
        </m:r>
        <m:sSub>
          <m:sSubPr>
            <m:ctrlPr>
              <w:rPr>
                <w:rFonts w:ascii="Cambria Math" w:hAnsi="Cambria Math"/>
                <w:i/>
                <w:szCs w:val="24"/>
                <w:lang w:eastAsia="en-US"/>
              </w:rPr>
            </m:ctrlPr>
          </m:sSubPr>
          <m:e>
            <m:r>
              <w:rPr>
                <w:rFonts w:ascii="Cambria Math" w:hAnsi="Cambria Math"/>
                <w:szCs w:val="24"/>
              </w:rPr>
              <m:t>КС</m:t>
            </m:r>
          </m:e>
          <m:sub>
            <m:r>
              <w:rPr>
                <w:rFonts w:ascii="Cambria Math" w:hAnsi="Cambria Math"/>
                <w:szCs w:val="24"/>
              </w:rPr>
              <m:t>ср.</m:t>
            </m:r>
          </m:sub>
        </m:sSub>
        <m:r>
          <w:rPr>
            <w:rFonts w:ascii="Cambria Math" w:hAnsi="Cambria Math"/>
            <w:szCs w:val="24"/>
          </w:rPr>
          <m:t>)</m:t>
        </m:r>
      </m:oMath>
      <w:r w:rsidR="000E058F" w:rsidRPr="005C3E39">
        <w:rPr>
          <w:szCs w:val="24"/>
        </w:rPr>
        <w:t>,</w:t>
      </w:r>
    </w:p>
    <w:p w14:paraId="704F3B93" w14:textId="77777777" w:rsidR="000E058F" w:rsidRPr="005C3E39" w:rsidRDefault="000E058F" w:rsidP="0072342E">
      <w:pPr>
        <w:ind w:firstLine="426"/>
        <w:rPr>
          <w:szCs w:val="24"/>
        </w:rPr>
      </w:pPr>
      <w:r w:rsidRPr="005C3E39">
        <w:rPr>
          <w:szCs w:val="24"/>
        </w:rPr>
        <w:t>где:</w:t>
      </w:r>
    </w:p>
    <w:p w14:paraId="2AAD6EBD" w14:textId="77777777" w:rsidR="000E058F" w:rsidRDefault="002B470C" w:rsidP="0072342E">
      <w:pPr>
        <w:ind w:firstLine="426"/>
        <w:rPr>
          <w:szCs w:val="24"/>
        </w:rPr>
      </w:pP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ср.рын.</m:t>
            </m:r>
          </m:sub>
        </m:sSub>
      </m:oMath>
      <w:r w:rsidR="000E058F" w:rsidRPr="005C3E39">
        <w:rPr>
          <w:szCs w:val="24"/>
        </w:rPr>
        <w:t xml:space="preserve"> – средневзвешенная процентная ставка по кредитам, предоставленным</w:t>
      </w:r>
      <w:r w:rsidR="000E058F">
        <w:rPr>
          <w:szCs w:val="24"/>
        </w:rPr>
        <w:t xml:space="preserve"> кредитными организациями нефинансовым организациям в соответствующей валюте, по 30 крупнейшим банкам публикуемая на официальном сайте ЦБ РФ, за месяц наиболее близкий к дате определения ЭСП, по кредитам, со сроком предоставления, попадающим в тот же интервал, что и срок, оставшийся до погашения оцениваемой дебиторской/кредиторской задолженности,</w:t>
      </w:r>
    </w:p>
    <w:p w14:paraId="5A7E17B5" w14:textId="77777777" w:rsidR="000E058F" w:rsidRDefault="002B470C" w:rsidP="0072342E">
      <w:pPr>
        <w:ind w:firstLine="426"/>
        <w:rPr>
          <w:szCs w:val="24"/>
        </w:rPr>
      </w:pPr>
      <m:oMath>
        <m:sSub>
          <m:sSubPr>
            <m:ctrlPr>
              <w:rPr>
                <w:rFonts w:ascii="Cambria Math" w:hAnsi="Cambria Math"/>
                <w:szCs w:val="24"/>
              </w:rPr>
            </m:ctrlPr>
          </m:sSubPr>
          <m:e>
            <m:r>
              <m:rPr>
                <m:sty m:val="p"/>
              </m:rPr>
              <w:rPr>
                <w:rFonts w:ascii="Cambria Math" w:hAnsi="Cambria Math"/>
                <w:szCs w:val="24"/>
              </w:rPr>
              <m:t>КС</m:t>
            </m:r>
          </m:e>
          <m:sub>
            <m:r>
              <m:rPr>
                <m:sty m:val="p"/>
              </m:rPr>
              <w:rPr>
                <w:rFonts w:ascii="Cambria Math" w:hAnsi="Cambria Math"/>
                <w:szCs w:val="24"/>
              </w:rPr>
              <m:t>д.о</m:t>
            </m:r>
          </m:sub>
        </m:sSub>
      </m:oMath>
      <w:r w:rsidR="000E058F">
        <w:rPr>
          <w:szCs w:val="24"/>
        </w:rPr>
        <w:t xml:space="preserve"> – ключевая ставка ЦБ РФ, установленная на дату определения ЭСП,</w:t>
      </w:r>
    </w:p>
    <w:p w14:paraId="32606CCC" w14:textId="77777777" w:rsidR="000E058F" w:rsidRDefault="002B470C" w:rsidP="0072342E">
      <w:pPr>
        <w:ind w:firstLine="426"/>
        <w:rPr>
          <w:szCs w:val="24"/>
        </w:rPr>
      </w:pPr>
      <m:oMath>
        <m:sSub>
          <m:sSubPr>
            <m:ctrlPr>
              <w:rPr>
                <w:rFonts w:ascii="Cambria Math" w:hAnsi="Cambria Math"/>
                <w:szCs w:val="24"/>
              </w:rPr>
            </m:ctrlPr>
          </m:sSubPr>
          <m:e>
            <m:r>
              <m:rPr>
                <m:sty m:val="p"/>
              </m:rPr>
              <w:rPr>
                <w:rFonts w:ascii="Cambria Math" w:hAnsi="Cambria Math"/>
                <w:szCs w:val="24"/>
              </w:rPr>
              <m:t>КС</m:t>
            </m:r>
          </m:e>
          <m:sub>
            <m:r>
              <m:rPr>
                <m:sty m:val="p"/>
              </m:rPr>
              <w:rPr>
                <w:rFonts w:ascii="Cambria Math" w:hAnsi="Cambria Math"/>
                <w:szCs w:val="24"/>
              </w:rPr>
              <m:t>ср.</m:t>
            </m:r>
          </m:sub>
        </m:sSub>
      </m:oMath>
      <w:r w:rsidR="000E058F">
        <w:rPr>
          <w:szCs w:val="24"/>
        </w:rPr>
        <w:t xml:space="preserve">  – средняя ключевая ставка ЦБ РФ за календарный месяц, за который определена ставка </w:t>
      </w: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ср.рын.</m:t>
            </m:r>
          </m:sub>
        </m:sSub>
      </m:oMath>
      <w:r w:rsidR="000E058F">
        <w:rPr>
          <w:szCs w:val="24"/>
        </w:rPr>
        <w:t>.</w:t>
      </w:r>
    </w:p>
    <w:p w14:paraId="383A931E" w14:textId="77777777" w:rsidR="000E058F" w:rsidRDefault="000E058F" w:rsidP="0072342E">
      <w:pPr>
        <w:ind w:firstLine="426"/>
        <w:rPr>
          <w:szCs w:val="24"/>
        </w:rPr>
      </w:pPr>
      <w:r>
        <w:rPr>
          <w:szCs w:val="24"/>
        </w:rPr>
        <w:t>Средняя за календарный месяц ключевая ставка ЦБ РФ рассчитывается по формуле (округление до 2 знаков после запятой</w:t>
      </w:r>
      <w:r w:rsidRPr="006749DA">
        <w:rPr>
          <w:szCs w:val="24"/>
        </w:rPr>
        <w:t>)</w:t>
      </w:r>
      <w:r>
        <w:rPr>
          <w:szCs w:val="24"/>
        </w:rPr>
        <w:t>:</w:t>
      </w:r>
    </w:p>
    <w:p w14:paraId="3A2ACAE7" w14:textId="77777777" w:rsidR="000E058F" w:rsidRDefault="002B470C" w:rsidP="0072342E">
      <w:pPr>
        <w:spacing w:before="120"/>
        <w:ind w:firstLine="426"/>
        <w:rPr>
          <w:rFonts w:ascii="Cambria Math" w:hAnsi="Cambria Math"/>
          <w:i/>
          <w:szCs w:val="24"/>
        </w:rPr>
      </w:pPr>
      <m:oMathPara>
        <m:oMath>
          <m:sSub>
            <m:sSubPr>
              <m:ctrlPr>
                <w:rPr>
                  <w:rFonts w:ascii="Cambria Math" w:hAnsi="Cambria Math"/>
                  <w:i/>
                  <w:szCs w:val="24"/>
                  <w:lang w:eastAsia="en-US"/>
                </w:rPr>
              </m:ctrlPr>
            </m:sSubPr>
            <m:e>
              <m:r>
                <w:rPr>
                  <w:rFonts w:ascii="Cambria Math" w:hAnsi="Cambria Math"/>
                  <w:szCs w:val="24"/>
                </w:rPr>
                <m:t>КС</m:t>
              </m:r>
            </m:e>
            <m:sub>
              <m:r>
                <w:rPr>
                  <w:rFonts w:ascii="Cambria Math" w:hAnsi="Cambria Math"/>
                  <w:szCs w:val="24"/>
                </w:rPr>
                <m:t>ср.</m:t>
              </m:r>
            </m:sub>
          </m:sSub>
          <m:r>
            <w:rPr>
              <w:rFonts w:ascii="Cambria Math" w:hAnsi="Cambria Math"/>
              <w:szCs w:val="24"/>
            </w:rPr>
            <m:t>=</m:t>
          </m:r>
          <m:f>
            <m:fPr>
              <m:ctrlPr>
                <w:rPr>
                  <w:rFonts w:ascii="Cambria Math" w:hAnsi="Cambria Math"/>
                  <w:i/>
                  <w:szCs w:val="24"/>
                  <w:lang w:eastAsia="en-US"/>
                </w:rPr>
              </m:ctrlPr>
            </m:fPr>
            <m:num>
              <m:nary>
                <m:naryPr>
                  <m:chr m:val="∑"/>
                  <m:limLoc m:val="undOvr"/>
                  <m:supHide m:val="1"/>
                  <m:ctrlPr>
                    <w:rPr>
                      <w:rFonts w:ascii="Cambria Math" w:hAnsi="Cambria Math"/>
                      <w:i/>
                      <w:szCs w:val="24"/>
                      <w:lang w:eastAsia="en-US"/>
                    </w:rPr>
                  </m:ctrlPr>
                </m:naryPr>
                <m:sub>
                  <m:r>
                    <w:rPr>
                      <w:rFonts w:ascii="Cambria Math" w:hAnsi="Cambria Math"/>
                      <w:szCs w:val="24"/>
                    </w:rPr>
                    <m:t>i</m:t>
                  </m:r>
                </m:sub>
                <m:sup/>
                <m:e>
                  <m:sSub>
                    <m:sSubPr>
                      <m:ctrlPr>
                        <w:rPr>
                          <w:rFonts w:ascii="Cambria Math" w:hAnsi="Cambria Math"/>
                          <w:i/>
                          <w:szCs w:val="24"/>
                          <w:lang w:eastAsia="en-US"/>
                        </w:rPr>
                      </m:ctrlPr>
                    </m:sSubPr>
                    <m:e>
                      <m:r>
                        <w:rPr>
                          <w:rFonts w:ascii="Cambria Math" w:hAnsi="Cambria Math"/>
                          <w:szCs w:val="24"/>
                        </w:rPr>
                        <m:t>КС</m:t>
                      </m:r>
                    </m:e>
                    <m:sub>
                      <m:r>
                        <w:rPr>
                          <w:rFonts w:ascii="Cambria Math" w:hAnsi="Cambria Math"/>
                          <w:szCs w:val="24"/>
                        </w:rPr>
                        <m:t>i</m:t>
                      </m:r>
                    </m:sub>
                  </m:sSub>
                  <m:r>
                    <w:rPr>
                      <w:rFonts w:ascii="Cambria Math" w:hAnsi="Cambria Math"/>
                      <w:szCs w:val="24"/>
                    </w:rPr>
                    <m:t>*</m:t>
                  </m:r>
                  <m:sSub>
                    <m:sSubPr>
                      <m:ctrlPr>
                        <w:rPr>
                          <w:rFonts w:ascii="Cambria Math" w:hAnsi="Cambria Math"/>
                          <w:i/>
                          <w:szCs w:val="24"/>
                          <w:lang w:eastAsia="en-US"/>
                        </w:rPr>
                      </m:ctrlPr>
                    </m:sSubPr>
                    <m:e>
                      <m:r>
                        <w:rPr>
                          <w:rFonts w:ascii="Cambria Math" w:hAnsi="Cambria Math"/>
                          <w:szCs w:val="24"/>
                        </w:rPr>
                        <m:t>T</m:t>
                      </m:r>
                    </m:e>
                    <m:sub>
                      <m:r>
                        <w:rPr>
                          <w:rFonts w:ascii="Cambria Math" w:hAnsi="Cambria Math"/>
                          <w:szCs w:val="24"/>
                        </w:rPr>
                        <m:t>i</m:t>
                      </m:r>
                    </m:sub>
                  </m:sSub>
                </m:e>
              </m:nary>
            </m:num>
            <m:den>
              <m:r>
                <w:rPr>
                  <w:rFonts w:ascii="Cambria Math" w:hAnsi="Cambria Math"/>
                  <w:szCs w:val="24"/>
                </w:rPr>
                <m:t>T</m:t>
              </m:r>
            </m:den>
          </m:f>
          <m:r>
            <w:rPr>
              <w:rFonts w:ascii="Cambria Math" w:hAnsi="Cambria Math"/>
              <w:szCs w:val="24"/>
            </w:rPr>
            <m:t>,</m:t>
          </m:r>
        </m:oMath>
      </m:oMathPara>
    </w:p>
    <w:p w14:paraId="16B6D411" w14:textId="77777777" w:rsidR="000E058F" w:rsidRDefault="000E058F" w:rsidP="0072342E">
      <w:pPr>
        <w:ind w:firstLine="426"/>
        <w:rPr>
          <w:szCs w:val="24"/>
        </w:rPr>
      </w:pPr>
      <w:r>
        <w:rPr>
          <w:szCs w:val="24"/>
        </w:rPr>
        <w:t>где:</w:t>
      </w:r>
    </w:p>
    <w:p w14:paraId="7EF242F9" w14:textId="77777777" w:rsidR="000E058F" w:rsidRPr="006749DA" w:rsidRDefault="000E058F" w:rsidP="0072342E">
      <w:pPr>
        <w:ind w:firstLine="426"/>
        <w:rPr>
          <w:rFonts w:ascii="Cambria Math" w:hAnsi="Cambria Math"/>
          <w:szCs w:val="24"/>
        </w:rPr>
      </w:pPr>
      <m:oMath>
        <m:r>
          <m:rPr>
            <m:sty m:val="p"/>
          </m:rPr>
          <w:rPr>
            <w:rFonts w:ascii="Cambria Math" w:hAnsi="Cambria Math"/>
            <w:szCs w:val="24"/>
          </w:rPr>
          <m:t>T</m:t>
        </m:r>
      </m:oMath>
      <w:r w:rsidRPr="006749DA">
        <w:rPr>
          <w:rFonts w:ascii="Cambria Math" w:hAnsi="Cambria Math"/>
          <w:szCs w:val="24"/>
        </w:rPr>
        <w:t xml:space="preserve"> – количество дней в календарном месяце, за который рассчитывается процентная ставка,</w:t>
      </w:r>
    </w:p>
    <w:p w14:paraId="2F005081" w14:textId="77777777" w:rsidR="000E058F" w:rsidRPr="006749DA" w:rsidRDefault="002B470C" w:rsidP="0072342E">
      <w:pPr>
        <w:ind w:firstLine="426"/>
        <w:rPr>
          <w:rFonts w:ascii="Cambria Math" w:hAnsi="Cambria Math"/>
          <w:szCs w:val="24"/>
        </w:rPr>
      </w:pPr>
      <m:oMath>
        <m:sSub>
          <m:sSubPr>
            <m:ctrlPr>
              <w:rPr>
                <w:rFonts w:ascii="Cambria Math" w:hAnsi="Cambria Math"/>
                <w:szCs w:val="24"/>
              </w:rPr>
            </m:ctrlPr>
          </m:sSubPr>
          <m:e>
            <m:r>
              <m:rPr>
                <m:sty m:val="p"/>
              </m:rPr>
              <w:rPr>
                <w:rFonts w:ascii="Cambria Math" w:hAnsi="Cambria Math"/>
                <w:szCs w:val="24"/>
              </w:rPr>
              <m:t>КС</m:t>
            </m:r>
          </m:e>
          <m:sub>
            <m:r>
              <m:rPr>
                <m:sty m:val="p"/>
              </m:rPr>
              <w:rPr>
                <w:rFonts w:ascii="Cambria Math" w:hAnsi="Cambria Math"/>
                <w:szCs w:val="24"/>
              </w:rPr>
              <m:t>i</m:t>
            </m:r>
          </m:sub>
        </m:sSub>
      </m:oMath>
      <w:r w:rsidR="000E058F" w:rsidRPr="006749DA">
        <w:rPr>
          <w:rFonts w:ascii="Cambria Math" w:hAnsi="Cambria Math"/>
          <w:szCs w:val="24"/>
        </w:rPr>
        <w:t xml:space="preserve"> – ключевая ставка ЦБ РФ, действовавшая в i-ом периоде календарного месяца,</w:t>
      </w:r>
    </w:p>
    <w:p w14:paraId="3A1D3D0E" w14:textId="77777777" w:rsidR="000E058F" w:rsidRPr="006749DA" w:rsidRDefault="002B470C" w:rsidP="0072342E">
      <w:pPr>
        <w:ind w:firstLine="426"/>
        <w:rPr>
          <w:rFonts w:ascii="Cambria Math" w:hAnsi="Cambria Math"/>
          <w:szCs w:val="24"/>
        </w:rPr>
      </w:pPr>
      <m:oMath>
        <m:sSub>
          <m:sSubPr>
            <m:ctrlPr>
              <w:rPr>
                <w:rFonts w:ascii="Cambria Math" w:hAnsi="Cambria Math"/>
                <w:szCs w:val="24"/>
              </w:rPr>
            </m:ctrlPr>
          </m:sSubPr>
          <m:e>
            <m:r>
              <m:rPr>
                <m:sty m:val="p"/>
              </m:rPr>
              <w:rPr>
                <w:rFonts w:ascii="Cambria Math" w:hAnsi="Cambria Math"/>
                <w:szCs w:val="24"/>
              </w:rPr>
              <m:t>T</m:t>
            </m:r>
          </m:e>
          <m:sub>
            <m:r>
              <m:rPr>
                <m:sty m:val="p"/>
              </m:rPr>
              <w:rPr>
                <w:rFonts w:ascii="Cambria Math" w:hAnsi="Cambria Math"/>
                <w:szCs w:val="24"/>
              </w:rPr>
              <m:t>i</m:t>
            </m:r>
          </m:sub>
        </m:sSub>
      </m:oMath>
      <w:r w:rsidR="000E058F" w:rsidRPr="006749DA">
        <w:rPr>
          <w:rFonts w:ascii="Cambria Math" w:hAnsi="Cambria Math"/>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Cs w:val="24"/>
              </w:rPr>
            </m:ctrlPr>
          </m:sSubPr>
          <m:e>
            <m:r>
              <m:rPr>
                <m:sty m:val="p"/>
              </m:rPr>
              <w:rPr>
                <w:rFonts w:ascii="Cambria Math" w:hAnsi="Cambria Math"/>
                <w:szCs w:val="24"/>
              </w:rPr>
              <m:t>КС</m:t>
            </m:r>
          </m:e>
          <m:sub>
            <m:r>
              <m:rPr>
                <m:sty m:val="p"/>
              </m:rPr>
              <w:rPr>
                <w:rFonts w:ascii="Cambria Math" w:hAnsi="Cambria Math"/>
                <w:szCs w:val="24"/>
              </w:rPr>
              <m:t>i</m:t>
            </m:r>
          </m:sub>
        </m:sSub>
      </m:oMath>
      <w:r w:rsidR="000E058F" w:rsidRPr="006749DA">
        <w:rPr>
          <w:rFonts w:ascii="Cambria Math" w:hAnsi="Cambria Math"/>
          <w:szCs w:val="24"/>
        </w:rPr>
        <w:t>.</w:t>
      </w:r>
    </w:p>
    <w:p w14:paraId="0EBC13E9" w14:textId="77777777" w:rsidR="000E058F" w:rsidRPr="006749DA" w:rsidRDefault="000E058F" w:rsidP="0072342E">
      <w:pPr>
        <w:ind w:firstLine="426"/>
        <w:rPr>
          <w:rFonts w:ascii="Cambria Math" w:hAnsi="Cambria Math"/>
          <w:szCs w:val="24"/>
        </w:rPr>
      </w:pPr>
      <w:r w:rsidRPr="006749DA">
        <w:rPr>
          <w:rFonts w:ascii="Cambria Math" w:hAnsi="Cambria Math"/>
          <w:szCs w:val="24"/>
        </w:rPr>
        <w:t xml:space="preserve">В том случае, если эффективная ставка процента не признается рыночной, в качестве ЭСП используется ставка </w:t>
      </w: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оц.ср.рын.</m:t>
            </m:r>
          </m:sub>
        </m:sSub>
      </m:oMath>
      <w:r w:rsidRPr="006749DA">
        <w:rPr>
          <w:rFonts w:ascii="Cambria Math" w:hAnsi="Cambria Math"/>
          <w:szCs w:val="24"/>
        </w:rPr>
        <w:t xml:space="preserve"> </w:t>
      </w:r>
    </w:p>
    <w:p w14:paraId="6054929B" w14:textId="77777777" w:rsidR="000E058F" w:rsidRPr="006749DA" w:rsidRDefault="000E058F" w:rsidP="0072342E">
      <w:pPr>
        <w:ind w:firstLine="426"/>
        <w:rPr>
          <w:rFonts w:ascii="Cambria Math" w:hAnsi="Cambria Math"/>
          <w:szCs w:val="24"/>
        </w:rPr>
      </w:pPr>
    </w:p>
    <w:p w14:paraId="278930A8" w14:textId="77777777" w:rsidR="000E058F" w:rsidRDefault="000E058F" w:rsidP="0072342E">
      <w:pPr>
        <w:ind w:firstLine="426"/>
        <w:rPr>
          <w:szCs w:val="24"/>
        </w:rPr>
      </w:pPr>
      <w:r w:rsidRPr="006749DA">
        <w:rPr>
          <w:rFonts w:ascii="Cambria Math" w:hAnsi="Cambria Math"/>
          <w:szCs w:val="24"/>
        </w:rPr>
        <w:t>ЭСП по ценной бумаге на дату ее определения подлежит проверке на соответствие</w:t>
      </w:r>
      <w:r>
        <w:rPr>
          <w:rFonts w:eastAsiaTheme="minorEastAsia"/>
          <w:szCs w:val="24"/>
        </w:rPr>
        <w:t xml:space="preserve"> рыночным условиям.</w:t>
      </w:r>
    </w:p>
    <w:p w14:paraId="551C6988" w14:textId="77777777" w:rsidR="000E058F" w:rsidRDefault="000E058F" w:rsidP="0072342E">
      <w:pPr>
        <w:spacing w:before="120"/>
        <w:ind w:firstLine="426"/>
        <w:rPr>
          <w:szCs w:val="24"/>
        </w:rPr>
      </w:pPr>
      <w:r>
        <w:rPr>
          <w:rFonts w:eastAsiaTheme="minorEastAsia"/>
          <w:szCs w:val="24"/>
        </w:rPr>
        <w:t>ЭСП по ценной бумаге</w:t>
      </w:r>
      <w:r>
        <w:rPr>
          <w:szCs w:val="24"/>
        </w:rPr>
        <w:t xml:space="preserve"> признается рыночной, если выполнено условие:</w:t>
      </w:r>
    </w:p>
    <w:p w14:paraId="3E0971B4" w14:textId="77777777" w:rsidR="000E058F" w:rsidRDefault="002B470C" w:rsidP="0072342E">
      <w:pPr>
        <w:spacing w:before="120"/>
        <w:ind w:firstLine="426"/>
        <w:jc w:val="center"/>
        <w:rPr>
          <w:rFonts w:ascii="Franklin Gothic Book" w:hAnsi="Franklin Gothic Book"/>
          <w:szCs w:val="24"/>
        </w:rPr>
      </w:pPr>
      <m:oMathPara>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оц.ср.рын.</m:t>
              </m:r>
            </m:sub>
          </m:sSub>
          <m:r>
            <w:rPr>
              <w:rFonts w:ascii="Cambria Math" w:hAnsi="Cambria Math"/>
              <w:szCs w:val="24"/>
            </w:rPr>
            <m:t>*(1-KV)≤rцб≤</m:t>
          </m:r>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оц.ср.рын.</m:t>
              </m:r>
            </m:sub>
          </m:sSub>
          <m:r>
            <w:rPr>
              <w:rFonts w:ascii="Cambria Math" w:hAnsi="Cambria Math"/>
              <w:szCs w:val="24"/>
            </w:rPr>
            <m:t>*(1+KV)</m:t>
          </m:r>
        </m:oMath>
      </m:oMathPara>
    </w:p>
    <w:p w14:paraId="0B5BE46E" w14:textId="77777777" w:rsidR="000E058F" w:rsidRDefault="000E058F" w:rsidP="0072342E">
      <w:pPr>
        <w:ind w:firstLine="426"/>
        <w:rPr>
          <w:szCs w:val="24"/>
        </w:rPr>
      </w:pPr>
      <w:r>
        <w:rPr>
          <w:szCs w:val="24"/>
        </w:rPr>
        <w:t>где:</w:t>
      </w:r>
    </w:p>
    <w:p w14:paraId="5F5701DD" w14:textId="77777777" w:rsidR="000E058F" w:rsidRDefault="000E058F" w:rsidP="0072342E">
      <w:pPr>
        <w:ind w:firstLine="426"/>
        <w:rPr>
          <w:rFonts w:ascii="Franklin Gothic Book" w:hAnsi="Franklin Gothic Book"/>
          <w:szCs w:val="24"/>
        </w:rPr>
      </w:pPr>
      <m:oMath>
        <m:r>
          <w:rPr>
            <w:rFonts w:ascii="Cambria Math" w:eastAsiaTheme="minorEastAsia" w:hAnsi="Cambria Math"/>
            <w:szCs w:val="24"/>
            <w:lang w:val="en-US"/>
          </w:rPr>
          <m:t>KV</m:t>
        </m:r>
      </m:oMath>
      <w:r>
        <w:rPr>
          <w:rFonts w:ascii="Franklin Gothic Book" w:hAnsi="Franklin Gothic Book"/>
          <w:szCs w:val="24"/>
        </w:rPr>
        <w:t xml:space="preserve"> – </w:t>
      </w:r>
      <w:r>
        <w:rPr>
          <w:szCs w:val="24"/>
        </w:rPr>
        <w:t>поправочный коэффициент рыночной ставки на горизонте 12 месяцев, определяемый по формуле:</w:t>
      </w:r>
    </w:p>
    <w:p w14:paraId="27EF5414" w14:textId="77777777" w:rsidR="004C42F5" w:rsidRPr="005E2216" w:rsidRDefault="004C42F5" w:rsidP="0072342E">
      <w:pPr>
        <w:pStyle w:val="a7"/>
        <w:spacing w:line="240" w:lineRule="auto"/>
        <w:jc w:val="center"/>
        <w:rPr>
          <w:rFonts w:ascii="Times New Roman" w:eastAsia="Batang" w:hAnsi="Times New Roman"/>
          <w:color w:val="000000"/>
          <w:sz w:val="24"/>
          <w:szCs w:val="24"/>
          <w:lang w:val="en-US" w:eastAsia="ru-RU"/>
        </w:rPr>
      </w:pPr>
      <w:r w:rsidRPr="005E2216">
        <w:rPr>
          <w:rFonts w:ascii="Times New Roman" w:eastAsia="Batang" w:hAnsi="Times New Roman"/>
          <w:color w:val="000000"/>
          <w:sz w:val="24"/>
          <w:szCs w:val="24"/>
          <w:lang w:val="en-US" w:eastAsia="ru-RU"/>
        </w:rPr>
        <w:t>KV=</w:t>
      </w:r>
      <m:oMath>
        <m:f>
          <m:fPr>
            <m:ctrlPr>
              <w:rPr>
                <w:rFonts w:ascii="Cambria Math" w:eastAsia="Batang" w:hAnsi="Cambria Math"/>
                <w:color w:val="000000"/>
                <w:sz w:val="24"/>
                <w:szCs w:val="24"/>
                <w:lang w:eastAsia="ru-RU"/>
              </w:rPr>
            </m:ctrlPr>
          </m:fPr>
          <m:num>
            <m:r>
              <m:rPr>
                <m:sty m:val="p"/>
              </m:rPr>
              <w:rPr>
                <w:rFonts w:ascii="Cambria Math" w:eastAsia="Batang" w:hAnsi="Cambria Math" w:hint="eastAsia"/>
                <w:color w:val="000000"/>
                <w:sz w:val="24"/>
                <w:szCs w:val="24"/>
                <w:lang w:val="en-US" w:eastAsia="ru-RU"/>
              </w:rPr>
              <m:t>max</m:t>
            </m:r>
            <m:sSub>
              <m:sSubPr>
                <m:ctrlPr>
                  <w:rPr>
                    <w:rFonts w:ascii="Cambria Math" w:eastAsia="Batang" w:hAnsi="Cambria Math"/>
                    <w:color w:val="000000"/>
                    <w:sz w:val="24"/>
                    <w:szCs w:val="24"/>
                    <w:lang w:eastAsia="ru-RU"/>
                  </w:rPr>
                </m:ctrlPr>
              </m:sSubPr>
              <m:e>
                <m:r>
                  <m:rPr>
                    <m:sty m:val="p"/>
                  </m:rPr>
                  <w:rPr>
                    <w:rFonts w:ascii="Cambria Math" w:eastAsia="Batang" w:hAnsi="Cambria Math" w:hint="eastAsia"/>
                    <w:color w:val="000000"/>
                    <w:sz w:val="24"/>
                    <w:szCs w:val="24"/>
                    <w:lang w:val="en-US" w:eastAsia="ru-RU"/>
                  </w:rPr>
                  <m:t>r</m:t>
                </m:r>
              </m:e>
              <m:sub>
                <m:r>
                  <m:rPr>
                    <m:sty m:val="p"/>
                  </m:rPr>
                  <w:rPr>
                    <w:rFonts w:ascii="Cambria Math" w:eastAsia="Batang" w:hAnsi="Cambria Math"/>
                    <w:color w:val="000000"/>
                    <w:sz w:val="24"/>
                    <w:szCs w:val="24"/>
                    <w:lang w:eastAsia="ru-RU"/>
                  </w:rPr>
                  <m:t>ср</m:t>
                </m:r>
                <m:r>
                  <m:rPr>
                    <m:sty m:val="p"/>
                  </m:rPr>
                  <w:rPr>
                    <w:rFonts w:ascii="Cambria Math" w:eastAsia="Batang" w:hAnsi="Cambria Math" w:hint="eastAsia"/>
                    <w:color w:val="000000"/>
                    <w:sz w:val="24"/>
                    <w:szCs w:val="24"/>
                    <w:lang w:val="en-US" w:eastAsia="ru-RU"/>
                  </w:rPr>
                  <m:t>.</m:t>
                </m:r>
                <m:r>
                  <m:rPr>
                    <m:sty m:val="p"/>
                  </m:rPr>
                  <w:rPr>
                    <w:rFonts w:ascii="Cambria Math" w:eastAsia="Batang" w:hAnsi="Cambria Math"/>
                    <w:color w:val="000000"/>
                    <w:sz w:val="24"/>
                    <w:szCs w:val="24"/>
                    <w:lang w:eastAsia="ru-RU"/>
                  </w:rPr>
                  <m:t>рын</m:t>
                </m:r>
                <m:r>
                  <m:rPr>
                    <m:sty m:val="p"/>
                  </m:rPr>
                  <w:rPr>
                    <w:rFonts w:ascii="Cambria Math" w:eastAsia="Batang" w:hAnsi="Cambria Math" w:hint="eastAsia"/>
                    <w:color w:val="000000"/>
                    <w:sz w:val="24"/>
                    <w:szCs w:val="24"/>
                    <w:lang w:val="en-US" w:eastAsia="ru-RU"/>
                  </w:rPr>
                  <m:t>.</m:t>
                </m:r>
              </m:sub>
            </m:sSub>
            <m:r>
              <m:rPr>
                <m:sty m:val="p"/>
              </m:rPr>
              <w:rPr>
                <w:rFonts w:ascii="Cambria Math" w:eastAsia="Batang" w:hAnsi="Cambria Math"/>
                <w:color w:val="000000"/>
                <w:sz w:val="24"/>
                <w:szCs w:val="24"/>
                <w:lang w:val="en-US" w:eastAsia="ru-RU"/>
              </w:rPr>
              <m:t>-</m:t>
            </m:r>
            <m:sSub>
              <m:sSubPr>
                <m:ctrlPr>
                  <w:rPr>
                    <w:rFonts w:ascii="Cambria Math" w:eastAsia="Batang" w:hAnsi="Cambria Math"/>
                    <w:color w:val="000000"/>
                    <w:sz w:val="24"/>
                    <w:szCs w:val="24"/>
                    <w:lang w:eastAsia="ru-RU"/>
                  </w:rPr>
                </m:ctrlPr>
              </m:sSubPr>
              <m:e>
                <m:r>
                  <m:rPr>
                    <m:sty m:val="p"/>
                  </m:rPr>
                  <w:rPr>
                    <w:rFonts w:ascii="Cambria Math" w:eastAsia="Batang" w:hAnsi="Cambria Math" w:hint="eastAsia"/>
                    <w:color w:val="000000"/>
                    <w:sz w:val="24"/>
                    <w:szCs w:val="24"/>
                    <w:lang w:val="en-US" w:eastAsia="ru-RU"/>
                  </w:rPr>
                  <m:t>minr</m:t>
                </m:r>
              </m:e>
              <m:sub>
                <m:r>
                  <m:rPr>
                    <m:sty m:val="p"/>
                  </m:rPr>
                  <w:rPr>
                    <w:rFonts w:ascii="Cambria Math" w:eastAsia="Batang" w:hAnsi="Cambria Math"/>
                    <w:color w:val="000000"/>
                    <w:sz w:val="24"/>
                    <w:szCs w:val="24"/>
                    <w:lang w:eastAsia="ru-RU"/>
                  </w:rPr>
                  <m:t>ср</m:t>
                </m:r>
                <m:r>
                  <m:rPr>
                    <m:sty m:val="p"/>
                  </m:rPr>
                  <w:rPr>
                    <w:rFonts w:ascii="Cambria Math" w:eastAsia="Batang" w:hAnsi="Cambria Math" w:hint="eastAsia"/>
                    <w:color w:val="000000"/>
                    <w:sz w:val="24"/>
                    <w:szCs w:val="24"/>
                    <w:lang w:val="en-US" w:eastAsia="ru-RU"/>
                  </w:rPr>
                  <m:t>.</m:t>
                </m:r>
                <m:r>
                  <m:rPr>
                    <m:sty m:val="p"/>
                  </m:rPr>
                  <w:rPr>
                    <w:rFonts w:ascii="Cambria Math" w:eastAsia="Batang" w:hAnsi="Cambria Math"/>
                    <w:color w:val="000000"/>
                    <w:sz w:val="24"/>
                    <w:szCs w:val="24"/>
                    <w:lang w:eastAsia="ru-RU"/>
                  </w:rPr>
                  <m:t>рын</m:t>
                </m:r>
                <m:r>
                  <m:rPr>
                    <m:sty m:val="p"/>
                  </m:rPr>
                  <w:rPr>
                    <w:rFonts w:ascii="Cambria Math" w:eastAsia="Batang" w:hAnsi="Cambria Math" w:hint="eastAsia"/>
                    <w:color w:val="000000"/>
                    <w:sz w:val="24"/>
                    <w:szCs w:val="24"/>
                    <w:lang w:val="en-US" w:eastAsia="ru-RU"/>
                  </w:rPr>
                  <m:t>.</m:t>
                </m:r>
              </m:sub>
            </m:sSub>
          </m:num>
          <m:den>
            <m:sSub>
              <m:sSubPr>
                <m:ctrlPr>
                  <w:rPr>
                    <w:rFonts w:ascii="Cambria Math" w:eastAsia="Batang" w:hAnsi="Cambria Math"/>
                    <w:color w:val="000000"/>
                    <w:sz w:val="24"/>
                    <w:szCs w:val="24"/>
                    <w:lang w:eastAsia="ru-RU"/>
                  </w:rPr>
                </m:ctrlPr>
              </m:sSubPr>
              <m:e>
                <m:r>
                  <m:rPr>
                    <m:sty m:val="p"/>
                  </m:rPr>
                  <w:rPr>
                    <w:rFonts w:ascii="Cambria Math" w:eastAsia="Batang" w:hAnsi="Cambria Math"/>
                    <w:color w:val="000000"/>
                    <w:sz w:val="24"/>
                    <w:szCs w:val="24"/>
                    <w:lang w:val="en-US" w:eastAsia="ru-RU"/>
                  </w:rPr>
                  <m:t>(</m:t>
                </m:r>
                <m:r>
                  <m:rPr>
                    <m:sty m:val="p"/>
                  </m:rPr>
                  <w:rPr>
                    <w:rFonts w:ascii="Cambria Math" w:eastAsia="Batang" w:hAnsi="Cambria Math" w:hint="eastAsia"/>
                    <w:color w:val="000000"/>
                    <w:sz w:val="24"/>
                    <w:szCs w:val="24"/>
                    <w:lang w:val="en-US" w:eastAsia="ru-RU"/>
                  </w:rPr>
                  <m:t>minr</m:t>
                </m:r>
              </m:e>
              <m:sub>
                <m:r>
                  <m:rPr>
                    <m:sty m:val="p"/>
                  </m:rPr>
                  <w:rPr>
                    <w:rFonts w:ascii="Cambria Math" w:eastAsia="Batang" w:hAnsi="Cambria Math"/>
                    <w:color w:val="000000"/>
                    <w:sz w:val="24"/>
                    <w:szCs w:val="24"/>
                    <w:lang w:eastAsia="ru-RU"/>
                  </w:rPr>
                  <m:t>ср</m:t>
                </m:r>
                <m:r>
                  <m:rPr>
                    <m:sty m:val="p"/>
                  </m:rPr>
                  <w:rPr>
                    <w:rFonts w:ascii="Cambria Math" w:eastAsia="Batang" w:hAnsi="Cambria Math" w:hint="eastAsia"/>
                    <w:color w:val="000000"/>
                    <w:sz w:val="24"/>
                    <w:szCs w:val="24"/>
                    <w:lang w:val="en-US" w:eastAsia="ru-RU"/>
                  </w:rPr>
                  <m:t>.</m:t>
                </m:r>
                <m:r>
                  <m:rPr>
                    <m:sty m:val="p"/>
                  </m:rPr>
                  <w:rPr>
                    <w:rFonts w:ascii="Cambria Math" w:eastAsia="Batang" w:hAnsi="Cambria Math"/>
                    <w:color w:val="000000"/>
                    <w:sz w:val="24"/>
                    <w:szCs w:val="24"/>
                    <w:lang w:eastAsia="ru-RU"/>
                  </w:rPr>
                  <m:t>рын</m:t>
                </m:r>
                <m:r>
                  <m:rPr>
                    <m:sty m:val="p"/>
                  </m:rPr>
                  <w:rPr>
                    <w:rFonts w:ascii="Cambria Math" w:eastAsia="Batang" w:hAnsi="Cambria Math" w:hint="eastAsia"/>
                    <w:color w:val="000000"/>
                    <w:sz w:val="24"/>
                    <w:szCs w:val="24"/>
                    <w:lang w:val="en-US" w:eastAsia="ru-RU"/>
                  </w:rPr>
                  <m:t>.</m:t>
                </m:r>
              </m:sub>
            </m:sSub>
            <m:r>
              <w:rPr>
                <w:rFonts w:ascii="Cambria Math" w:eastAsia="Batang" w:hAnsi="Cambria Math"/>
                <w:color w:val="000000"/>
                <w:sz w:val="24"/>
                <w:szCs w:val="24"/>
                <w:lang w:val="en-US" w:eastAsia="ru-RU"/>
              </w:rPr>
              <m:t>+</m:t>
            </m:r>
            <m:r>
              <m:rPr>
                <m:sty m:val="p"/>
              </m:rPr>
              <w:rPr>
                <w:rFonts w:ascii="Cambria Math" w:eastAsia="Batang" w:hAnsi="Cambria Math"/>
                <w:color w:val="000000"/>
                <w:sz w:val="24"/>
                <w:szCs w:val="24"/>
                <w:lang w:val="en-US" w:eastAsia="ru-RU"/>
              </w:rPr>
              <m:t>max</m:t>
            </m:r>
            <m:sSub>
              <m:sSubPr>
                <m:ctrlPr>
                  <w:rPr>
                    <w:rFonts w:ascii="Cambria Math" w:eastAsia="Batang" w:hAnsi="Cambria Math"/>
                    <w:color w:val="000000"/>
                    <w:sz w:val="24"/>
                    <w:szCs w:val="24"/>
                    <w:lang w:eastAsia="ru-RU"/>
                  </w:rPr>
                </m:ctrlPr>
              </m:sSubPr>
              <m:e>
                <m:r>
                  <m:rPr>
                    <m:sty m:val="p"/>
                  </m:rPr>
                  <w:rPr>
                    <w:rFonts w:ascii="Cambria Math" w:eastAsia="Batang" w:hAnsi="Cambria Math"/>
                    <w:color w:val="000000"/>
                    <w:sz w:val="24"/>
                    <w:szCs w:val="24"/>
                    <w:lang w:val="en-US" w:eastAsia="ru-RU"/>
                  </w:rPr>
                  <m:t>r</m:t>
                </m:r>
              </m:e>
              <m:sub>
                <m:r>
                  <m:rPr>
                    <m:sty m:val="p"/>
                  </m:rPr>
                  <w:rPr>
                    <w:rFonts w:ascii="Cambria Math" w:eastAsia="Batang" w:hAnsi="Cambria Math"/>
                    <w:color w:val="000000"/>
                    <w:sz w:val="24"/>
                    <w:szCs w:val="24"/>
                    <w:lang w:eastAsia="ru-RU"/>
                  </w:rPr>
                  <m:t>ср</m:t>
                </m:r>
                <m:r>
                  <m:rPr>
                    <m:sty m:val="p"/>
                  </m:rPr>
                  <w:rPr>
                    <w:rFonts w:ascii="Cambria Math" w:eastAsia="Batang" w:hAnsi="Cambria Math"/>
                    <w:color w:val="000000"/>
                    <w:sz w:val="24"/>
                    <w:szCs w:val="24"/>
                    <w:lang w:val="en-US" w:eastAsia="ru-RU"/>
                  </w:rPr>
                  <m:t>.</m:t>
                </m:r>
                <m:r>
                  <m:rPr>
                    <m:sty m:val="p"/>
                  </m:rPr>
                  <w:rPr>
                    <w:rFonts w:ascii="Cambria Math" w:eastAsia="Batang" w:hAnsi="Cambria Math"/>
                    <w:color w:val="000000"/>
                    <w:sz w:val="24"/>
                    <w:szCs w:val="24"/>
                    <w:lang w:eastAsia="ru-RU"/>
                  </w:rPr>
                  <m:t>рын</m:t>
                </m:r>
                <m:r>
                  <m:rPr>
                    <m:sty m:val="p"/>
                  </m:rPr>
                  <w:rPr>
                    <w:rFonts w:ascii="Cambria Math" w:eastAsia="Batang" w:hAnsi="Cambria Math"/>
                    <w:color w:val="000000"/>
                    <w:sz w:val="24"/>
                    <w:szCs w:val="24"/>
                    <w:lang w:val="en-US" w:eastAsia="ru-RU"/>
                  </w:rPr>
                  <m:t>.  ) /2</m:t>
                </m:r>
              </m:sub>
            </m:sSub>
          </m:den>
        </m:f>
      </m:oMath>
      <w:r w:rsidRPr="005E2216">
        <w:rPr>
          <w:rFonts w:ascii="Times New Roman" w:eastAsia="Batang" w:hAnsi="Times New Roman"/>
          <w:color w:val="000000"/>
          <w:sz w:val="24"/>
          <w:szCs w:val="24"/>
          <w:lang w:val="en-US" w:eastAsia="ru-RU"/>
        </w:rPr>
        <w:t xml:space="preserve"> ,</w:t>
      </w:r>
    </w:p>
    <w:p w14:paraId="2379401C" w14:textId="77777777" w:rsidR="000E058F" w:rsidRDefault="000E058F" w:rsidP="0072342E">
      <w:pPr>
        <w:ind w:firstLine="426"/>
        <w:rPr>
          <w:i/>
          <w:szCs w:val="24"/>
        </w:rPr>
      </w:pPr>
      <w:r>
        <w:rPr>
          <w:i/>
          <w:szCs w:val="24"/>
        </w:rPr>
        <w:t>где:</w:t>
      </w:r>
    </w:p>
    <w:p w14:paraId="7D9D3887" w14:textId="77777777" w:rsidR="000E058F" w:rsidRDefault="000E058F" w:rsidP="0072342E">
      <w:pPr>
        <w:ind w:firstLine="426"/>
        <w:rPr>
          <w:szCs w:val="24"/>
        </w:rPr>
      </w:pPr>
      <m:oMath>
        <m:r>
          <w:rPr>
            <w:rFonts w:ascii="Cambria Math" w:hAnsi="Cambria Math"/>
            <w:szCs w:val="24"/>
          </w:rPr>
          <m:t>max</m:t>
        </m:r>
        <m:sSub>
          <m:sSubPr>
            <m:ctrlPr>
              <w:rPr>
                <w:rFonts w:ascii="Cambria Math" w:hAnsi="Cambria Math"/>
                <w:szCs w:val="24"/>
                <w:lang w:eastAsia="en-US"/>
              </w:rPr>
            </m:ctrlPr>
          </m:sSubPr>
          <m:e>
            <m:r>
              <w:rPr>
                <w:rFonts w:ascii="Cambria Math" w:hAnsi="Cambria Math"/>
                <w:szCs w:val="24"/>
              </w:rPr>
              <m:t>r</m:t>
            </m:r>
          </m:e>
          <m:sub>
            <m:r>
              <m:rPr>
                <m:sty m:val="p"/>
              </m:rPr>
              <w:rPr>
                <w:rFonts w:ascii="Cambria Math" w:hAnsi="Cambria Math"/>
                <w:szCs w:val="24"/>
              </w:rPr>
              <m:t>ср.рын.</m:t>
            </m:r>
          </m:sub>
        </m:sSub>
      </m:oMath>
      <w:r>
        <w:rPr>
          <w:rFonts w:ascii="Franklin Gothic Book" w:hAnsi="Franklin Gothic Book"/>
          <w:szCs w:val="24"/>
        </w:rPr>
        <w:t xml:space="preserve"> – </w:t>
      </w:r>
      <w:r>
        <w:rPr>
          <w:szCs w:val="24"/>
        </w:rPr>
        <w:t xml:space="preserve">максимальная величина суммы </w:t>
      </w: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i</m:t>
            </m:r>
          </m:sub>
        </m:sSub>
      </m:oMath>
      <w:r>
        <w:rPr>
          <w:rFonts w:eastAsiaTheme="minorEastAsia"/>
          <w:szCs w:val="24"/>
        </w:rPr>
        <w:t xml:space="preserve"> и </w:t>
      </w:r>
      <m:oMath>
        <m:r>
          <w:rPr>
            <w:rFonts w:ascii="Cambria Math" w:hAnsi="Cambria Math"/>
            <w:szCs w:val="24"/>
          </w:rPr>
          <m:t>CrSpread</m:t>
        </m:r>
      </m:oMath>
      <w:r>
        <w:rPr>
          <w:rFonts w:eastAsiaTheme="minorEastAsia"/>
          <w:szCs w:val="24"/>
        </w:rPr>
        <w:t xml:space="preserve"> </w:t>
      </w:r>
      <w:r>
        <w:rPr>
          <w:szCs w:val="24"/>
        </w:rPr>
        <w:t>на горизонте 12 месяцев начиная от даты определения ЭСП.</w:t>
      </w:r>
    </w:p>
    <w:p w14:paraId="138E8264" w14:textId="77777777" w:rsidR="000E058F" w:rsidRDefault="002B470C" w:rsidP="0072342E">
      <w:pPr>
        <w:ind w:firstLine="426"/>
        <w:rPr>
          <w:rFonts w:ascii="Franklin Gothic Book" w:hAnsi="Franklin Gothic Book"/>
          <w:szCs w:val="24"/>
        </w:rPr>
      </w:pPr>
      <m:oMath>
        <m:sSub>
          <m:sSubPr>
            <m:ctrlPr>
              <w:rPr>
                <w:rFonts w:ascii="Cambria Math" w:hAnsi="Cambria Math"/>
                <w:szCs w:val="24"/>
                <w:lang w:eastAsia="en-US"/>
              </w:rPr>
            </m:ctrlPr>
          </m:sSubPr>
          <m:e>
            <m:r>
              <w:rPr>
                <w:rFonts w:ascii="Cambria Math" w:hAnsi="Cambria Math"/>
                <w:szCs w:val="24"/>
              </w:rPr>
              <m:t>minr</m:t>
            </m:r>
          </m:e>
          <m:sub>
            <m:r>
              <m:rPr>
                <m:sty m:val="p"/>
              </m:rPr>
              <w:rPr>
                <w:rFonts w:ascii="Cambria Math" w:hAnsi="Cambria Math"/>
                <w:szCs w:val="24"/>
              </w:rPr>
              <m:t>ср.рын.</m:t>
            </m:r>
          </m:sub>
        </m:sSub>
      </m:oMath>
      <w:r w:rsidR="000E058F">
        <w:rPr>
          <w:rFonts w:ascii="Franklin Gothic Book" w:hAnsi="Franklin Gothic Book"/>
          <w:szCs w:val="24"/>
        </w:rPr>
        <w:t xml:space="preserve"> – </w:t>
      </w:r>
      <w:r w:rsidR="000E058F">
        <w:rPr>
          <w:szCs w:val="24"/>
        </w:rPr>
        <w:t xml:space="preserve">минимальная величина суммы </w:t>
      </w: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i</m:t>
            </m:r>
          </m:sub>
        </m:sSub>
      </m:oMath>
      <w:r w:rsidR="000E058F">
        <w:rPr>
          <w:rFonts w:eastAsiaTheme="minorEastAsia"/>
          <w:szCs w:val="24"/>
        </w:rPr>
        <w:t xml:space="preserve"> и </w:t>
      </w:r>
      <m:oMath>
        <m:r>
          <w:rPr>
            <w:rFonts w:ascii="Cambria Math" w:hAnsi="Cambria Math"/>
            <w:szCs w:val="24"/>
          </w:rPr>
          <m:t>CrSpread</m:t>
        </m:r>
      </m:oMath>
      <w:r w:rsidR="000E058F">
        <w:rPr>
          <w:rFonts w:eastAsiaTheme="minorEastAsia"/>
          <w:szCs w:val="24"/>
        </w:rPr>
        <w:t xml:space="preserve"> </w:t>
      </w:r>
      <w:r w:rsidR="000E058F">
        <w:rPr>
          <w:szCs w:val="24"/>
        </w:rPr>
        <w:t>на горизонте 12 месяцев начиная от даты определения ЭСП.</w:t>
      </w:r>
    </w:p>
    <w:p w14:paraId="5D2CE6CE" w14:textId="77777777" w:rsidR="000E058F" w:rsidRPr="006749DA" w:rsidRDefault="002B470C" w:rsidP="0072342E">
      <w:pPr>
        <w:ind w:firstLine="426"/>
        <w:rPr>
          <w:szCs w:val="24"/>
        </w:rPr>
      </w:pP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i</m:t>
            </m:r>
          </m:sub>
        </m:sSub>
      </m:oMath>
      <w:r w:rsidR="000E058F" w:rsidRPr="006749DA">
        <w:rPr>
          <w:rFonts w:ascii="Verdana" w:hAnsi="Verdana"/>
        </w:rPr>
        <w:t xml:space="preserve"> </w:t>
      </w:r>
      <w:r w:rsidR="000E058F" w:rsidRPr="006749DA">
        <w:rPr>
          <w:szCs w:val="24"/>
        </w:rPr>
        <w:t>– доходность кривой бескупонной доходности (</w:t>
      </w:r>
      <w:r w:rsidR="000E058F" w:rsidRPr="006749DA">
        <w:rPr>
          <w:szCs w:val="24"/>
          <w:lang w:val="en-US"/>
        </w:rPr>
        <w:t>G</w:t>
      </w:r>
      <w:r w:rsidR="000E058F" w:rsidRPr="006749DA">
        <w:rPr>
          <w:szCs w:val="24"/>
        </w:rPr>
        <w:t>-кривая)</w:t>
      </w:r>
      <w:r w:rsidR="00C906AE">
        <w:rPr>
          <w:szCs w:val="24"/>
        </w:rPr>
        <w:t xml:space="preserve">, </w:t>
      </w:r>
      <w:r w:rsidR="00C906AE" w:rsidRPr="00C906AE">
        <w:rPr>
          <w:szCs w:val="24"/>
        </w:rPr>
        <w:t>публикуемая Банком России и Московской Биржей</w:t>
      </w:r>
      <w:r w:rsidR="00C906AE">
        <w:rPr>
          <w:rStyle w:val="af1"/>
          <w:szCs w:val="24"/>
        </w:rPr>
        <w:footnoteReference w:id="8"/>
      </w:r>
      <w:r w:rsidR="000E058F" w:rsidRPr="006749DA">
        <w:rPr>
          <w:szCs w:val="24"/>
        </w:rPr>
        <w:t>, соответствующая дате выплаты i-го денежного потока;</w:t>
      </w:r>
    </w:p>
    <w:p w14:paraId="1E9F5AAF" w14:textId="77777777" w:rsidR="000E058F" w:rsidRDefault="000E058F" w:rsidP="0072342E">
      <w:pPr>
        <w:ind w:firstLine="426"/>
        <w:rPr>
          <w:szCs w:val="24"/>
        </w:rPr>
      </w:pPr>
      <m:oMath>
        <m:r>
          <w:rPr>
            <w:rFonts w:ascii="Cambria Math" w:hAnsi="Cambria Math"/>
            <w:szCs w:val="24"/>
          </w:rPr>
          <w:lastRenderedPageBreak/>
          <m:t>CrSpread</m:t>
        </m:r>
      </m:oMath>
      <w:r w:rsidRPr="006749DA">
        <w:rPr>
          <w:rFonts w:ascii="Verdana" w:hAnsi="Verdana"/>
        </w:rPr>
        <w:t xml:space="preserve"> </w:t>
      </w:r>
      <w:r w:rsidRPr="006749DA">
        <w:rPr>
          <w:szCs w:val="24"/>
        </w:rPr>
        <w:t xml:space="preserve">– медианное значение кредитного спрэда облигационного индекса </w:t>
      </w: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оц.ср.рын.</m:t>
            </m:r>
          </m:sub>
        </m:sSub>
      </m:oMath>
      <w:r w:rsidRPr="006749DA">
        <w:rPr>
          <w:szCs w:val="24"/>
        </w:rPr>
        <w:t xml:space="preserve"> – сумма величин </w:t>
      </w: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i</m:t>
            </m:r>
          </m:sub>
        </m:sSub>
      </m:oMath>
      <w:r w:rsidRPr="006749DA">
        <w:rPr>
          <w:rFonts w:eastAsiaTheme="minorEastAsia"/>
          <w:szCs w:val="24"/>
        </w:rPr>
        <w:t xml:space="preserve"> и </w:t>
      </w:r>
      <m:oMath>
        <m:r>
          <w:rPr>
            <w:rFonts w:ascii="Cambria Math" w:hAnsi="Cambria Math"/>
            <w:szCs w:val="24"/>
          </w:rPr>
          <m:t>CrSpread</m:t>
        </m:r>
      </m:oMath>
      <w:r w:rsidRPr="006749DA">
        <w:rPr>
          <w:rFonts w:eastAsiaTheme="minorEastAsia"/>
          <w:szCs w:val="24"/>
        </w:rPr>
        <w:t xml:space="preserve"> на дату проверки ЭСП.</w:t>
      </w:r>
    </w:p>
    <w:p w14:paraId="6266A9FD" w14:textId="77777777" w:rsidR="000E058F" w:rsidRDefault="000E058F" w:rsidP="0072342E">
      <w:pPr>
        <w:spacing w:before="120"/>
        <w:ind w:firstLine="426"/>
        <w:rPr>
          <w:szCs w:val="24"/>
        </w:rPr>
      </w:pPr>
      <w:r>
        <w:rPr>
          <w:szCs w:val="24"/>
        </w:rPr>
        <w:t xml:space="preserve">В том случае, если эффективная ставка процента по ценной бумаге не признается рыночной, в качестве ЭСП используется ставка </w:t>
      </w:r>
      <m:oMath>
        <m:sSub>
          <m:sSubPr>
            <m:ctrlPr>
              <w:rPr>
                <w:rFonts w:ascii="Cambria Math" w:hAnsi="Cambria Math"/>
                <w:i/>
                <w:szCs w:val="24"/>
                <w:lang w:eastAsia="en-US"/>
              </w:rPr>
            </m:ctrlPr>
          </m:sSubPr>
          <m:e>
            <m:r>
              <w:rPr>
                <w:rFonts w:ascii="Cambria Math" w:hAnsi="Cambria Math"/>
                <w:szCs w:val="24"/>
              </w:rPr>
              <m:t>r</m:t>
            </m:r>
          </m:e>
          <m:sub>
            <m:r>
              <w:rPr>
                <w:rFonts w:ascii="Cambria Math" w:hAnsi="Cambria Math"/>
                <w:szCs w:val="24"/>
              </w:rPr>
              <m:t>оц.ср.рын.</m:t>
            </m:r>
          </m:sub>
        </m:sSub>
      </m:oMath>
      <w:r>
        <w:rPr>
          <w:szCs w:val="24"/>
        </w:rPr>
        <w:t xml:space="preserve"> </w:t>
      </w:r>
    </w:p>
    <w:p w14:paraId="17943484" w14:textId="77777777" w:rsidR="00544A99" w:rsidRDefault="00544A99" w:rsidP="0072342E">
      <w:pPr>
        <w:rPr>
          <w:rFonts w:eastAsia="Calibri"/>
          <w:lang w:eastAsia="en-US"/>
        </w:rPr>
      </w:pPr>
      <w:r>
        <w:rPr>
          <w:rFonts w:eastAsia="Calibri"/>
          <w:lang w:eastAsia="en-US"/>
        </w:rPr>
        <w:br w:type="page"/>
      </w:r>
    </w:p>
    <w:p w14:paraId="3A1736E1" w14:textId="77777777" w:rsidR="008C0A68" w:rsidRDefault="008C0A68" w:rsidP="008C0A68">
      <w:pPr>
        <w:pStyle w:val="affd"/>
      </w:pPr>
      <w:bookmarkStart w:id="14" w:name="_Toc27400763"/>
      <w:r w:rsidRPr="004A5053">
        <w:lastRenderedPageBreak/>
        <w:t xml:space="preserve">Приложение </w:t>
      </w:r>
      <w:r>
        <w:t>1</w:t>
      </w:r>
    </w:p>
    <w:p w14:paraId="27A11C06" w14:textId="77777777" w:rsidR="008C0A68" w:rsidRPr="004A5053" w:rsidRDefault="008C0A68" w:rsidP="008C0A68">
      <w:pPr>
        <w:pStyle w:val="affd"/>
        <w:jc w:val="left"/>
      </w:pPr>
      <w:r>
        <w:t xml:space="preserve"> </w:t>
      </w:r>
      <w:r w:rsidRPr="004A5053">
        <w:t>Метод приведенной стоимости будущих денежных потоков</w:t>
      </w:r>
    </w:p>
    <w:p w14:paraId="6ABCD430" w14:textId="77777777" w:rsidR="008C0A68" w:rsidRPr="004A5053" w:rsidRDefault="008C0A68" w:rsidP="008C0A68">
      <w:pPr>
        <w:jc w:val="right"/>
        <w:rPr>
          <w:rFonts w:eastAsia="Calibri"/>
          <w:b/>
          <w:szCs w:val="24"/>
          <w:lang w:eastAsia="en-US"/>
        </w:rPr>
      </w:pPr>
    </w:p>
    <w:p w14:paraId="6925369D" w14:textId="77777777" w:rsidR="008C0A68" w:rsidRPr="004A5053" w:rsidRDefault="008C0A68" w:rsidP="008C0A68">
      <w:pPr>
        <w:tabs>
          <w:tab w:val="left" w:pos="993"/>
        </w:tabs>
        <w:spacing w:before="120" w:after="200"/>
        <w:ind w:left="360"/>
        <w:jc w:val="both"/>
        <w:rPr>
          <w:rFonts w:eastAsia="Batang"/>
          <w:color w:val="000000"/>
          <w:szCs w:val="24"/>
        </w:rPr>
      </w:pPr>
      <w:r w:rsidRPr="004A5053">
        <w:rPr>
          <w:rFonts w:eastAsia="Batang"/>
          <w:b/>
          <w:color w:val="000000"/>
          <w:szCs w:val="24"/>
        </w:rPr>
        <w:t>Приведенная стоимость будущих денежных потоков</w:t>
      </w:r>
      <w:r w:rsidRPr="004A5053">
        <w:rPr>
          <w:rFonts w:eastAsia="Batang"/>
          <w:color w:val="000000"/>
          <w:szCs w:val="24"/>
        </w:rPr>
        <w:t xml:space="preserve"> рассчитывается по формуле:</w:t>
      </w:r>
    </w:p>
    <w:p w14:paraId="53AD0491" w14:textId="77777777" w:rsidR="008C0A68" w:rsidRPr="004A5053" w:rsidRDefault="008C0A68" w:rsidP="008C0A68">
      <w:pPr>
        <w:tabs>
          <w:tab w:val="left" w:pos="993"/>
        </w:tabs>
        <w:spacing w:before="120"/>
        <w:ind w:firstLine="567"/>
        <w:jc w:val="both"/>
        <w:rPr>
          <w:rFonts w:eastAsia="Batang"/>
          <w:color w:val="000000"/>
          <w:szCs w:val="24"/>
        </w:rPr>
      </w:pPr>
      <w:r w:rsidRPr="004A5053">
        <w:rPr>
          <w:rFonts w:eastAsia="Batang" w:hint="eastAsia"/>
          <w:color w:val="000000"/>
          <w:szCs w:val="24"/>
        </w:rPr>
        <w:br/>
      </w:r>
      <m:oMathPara>
        <m:oMath>
          <m:r>
            <w:rPr>
              <w:rFonts w:ascii="Cambria Math" w:eastAsia="Batang" w:hAnsi="Cambria Math"/>
              <w:color w:val="000000"/>
              <w:szCs w:val="24"/>
            </w:rPr>
            <m:t>PV</m:t>
          </m:r>
          <m:r>
            <w:rPr>
              <w:rFonts w:ascii="Cambria Math" w:eastAsia="Batang" w:hint="eastAsia"/>
              <w:color w:val="000000"/>
              <w:szCs w:val="24"/>
            </w:rPr>
            <m:t>=</m:t>
          </m:r>
          <m:nary>
            <m:naryPr>
              <m:chr m:val="∑"/>
              <m:limLoc m:val="undOvr"/>
              <m:ctrlPr>
                <w:rPr>
                  <w:rFonts w:ascii="Cambria Math" w:eastAsia="Batang" w:hAnsi="Cambria Math"/>
                  <w:i/>
                  <w:color w:val="000000"/>
                  <w:szCs w:val="24"/>
                </w:rPr>
              </m:ctrlPr>
            </m:naryPr>
            <m:sub>
              <m:r>
                <w:rPr>
                  <w:rFonts w:ascii="Cambria Math" w:eastAsia="Batang" w:hAnsi="Cambria Math"/>
                  <w:color w:val="000000"/>
                  <w:szCs w:val="24"/>
                </w:rPr>
                <m:t>n</m:t>
              </m:r>
              <m:r>
                <w:rPr>
                  <w:rFonts w:ascii="Cambria Math" w:eastAsia="Batang" w:hint="eastAsia"/>
                  <w:color w:val="000000"/>
                  <w:szCs w:val="24"/>
                </w:rPr>
                <m:t>=1</m:t>
              </m:r>
            </m:sub>
            <m:sup>
              <m:r>
                <w:rPr>
                  <w:rFonts w:ascii="Cambria Math" w:eastAsia="Batang" w:hAnsi="Cambria Math"/>
                  <w:color w:val="000000"/>
                  <w:szCs w:val="24"/>
                </w:rPr>
                <m:t>N</m:t>
              </m:r>
            </m:sup>
            <m:e>
              <m:f>
                <m:fPr>
                  <m:ctrlPr>
                    <w:rPr>
                      <w:rFonts w:ascii="Cambria Math" w:eastAsia="Batang" w:hAnsi="Cambria Math"/>
                      <w:i/>
                      <w:color w:val="000000"/>
                      <w:szCs w:val="24"/>
                    </w:rPr>
                  </m:ctrlPr>
                </m:fPr>
                <m:num>
                  <m:sSub>
                    <m:sSubPr>
                      <m:ctrlPr>
                        <w:rPr>
                          <w:rFonts w:ascii="Cambria Math" w:eastAsia="Batang" w:hAnsi="Cambria Math"/>
                          <w:i/>
                          <w:color w:val="000000"/>
                          <w:szCs w:val="24"/>
                        </w:rPr>
                      </m:ctrlPr>
                    </m:sSubPr>
                    <m:e>
                      <m:r>
                        <w:rPr>
                          <w:rFonts w:ascii="Cambria Math" w:eastAsia="Batang" w:hAnsi="Cambria Math"/>
                          <w:color w:val="000000"/>
                          <w:szCs w:val="24"/>
                        </w:rPr>
                        <m:t>P</m:t>
                      </m:r>
                    </m:e>
                    <m:sub>
                      <m:r>
                        <w:rPr>
                          <w:rFonts w:ascii="Cambria Math" w:eastAsia="Batang" w:hAnsi="Cambria Math"/>
                          <w:color w:val="000000"/>
                          <w:szCs w:val="24"/>
                        </w:rPr>
                        <m:t>n</m:t>
                      </m:r>
                    </m:sub>
                  </m:sSub>
                </m:num>
                <m:den>
                  <m:sSup>
                    <m:sSupPr>
                      <m:ctrlPr>
                        <w:rPr>
                          <w:rFonts w:ascii="Cambria Math" w:eastAsia="Batang" w:hAnsi="Cambria Math"/>
                          <w:i/>
                          <w:color w:val="000000"/>
                          <w:szCs w:val="24"/>
                        </w:rPr>
                      </m:ctrlPr>
                    </m:sSupPr>
                    <m:e>
                      <m:r>
                        <w:rPr>
                          <w:rFonts w:ascii="Cambria Math" w:eastAsia="Batang" w:hint="eastAsia"/>
                          <w:color w:val="000000"/>
                          <w:szCs w:val="24"/>
                        </w:rPr>
                        <m:t>(1+</m:t>
                      </m:r>
                      <m:r>
                        <w:rPr>
                          <w:rFonts w:ascii="Cambria Math" w:eastAsia="Batang" w:hAnsi="Cambria Math"/>
                          <w:color w:val="000000"/>
                          <w:szCs w:val="24"/>
                        </w:rPr>
                        <m:t>r</m:t>
                      </m:r>
                      <m:r>
                        <w:rPr>
                          <w:rFonts w:ascii="Cambria Math" w:eastAsia="Batang" w:hint="eastAsia"/>
                          <w:color w:val="000000"/>
                          <w:szCs w:val="24"/>
                        </w:rPr>
                        <m:t>)</m:t>
                      </m:r>
                    </m:e>
                    <m:sup>
                      <m:f>
                        <m:fPr>
                          <m:type m:val="lin"/>
                          <m:ctrlPr>
                            <w:rPr>
                              <w:rFonts w:ascii="Cambria Math" w:eastAsia="Batang" w:hAnsi="Cambria Math"/>
                              <w:i/>
                              <w:color w:val="000000"/>
                              <w:szCs w:val="24"/>
                            </w:rPr>
                          </m:ctrlPr>
                        </m:fPr>
                        <m:num>
                          <m:sSub>
                            <m:sSubPr>
                              <m:ctrlPr>
                                <w:rPr>
                                  <w:rFonts w:ascii="Cambria Math" w:eastAsia="Batang" w:hAnsi="Cambria Math"/>
                                  <w:i/>
                                  <w:color w:val="000000"/>
                                  <w:szCs w:val="24"/>
                                </w:rPr>
                              </m:ctrlPr>
                            </m:sSubPr>
                            <m:e>
                              <m:r>
                                <w:rPr>
                                  <w:rFonts w:ascii="Cambria Math" w:eastAsia="Batang" w:hAnsi="Cambria Math"/>
                                  <w:color w:val="000000"/>
                                  <w:szCs w:val="24"/>
                                </w:rPr>
                                <m:t>D</m:t>
                              </m:r>
                            </m:e>
                            <m:sub>
                              <m:r>
                                <w:rPr>
                                  <w:rFonts w:ascii="Cambria Math" w:eastAsia="Batang" w:hAnsi="Cambria Math"/>
                                  <w:color w:val="000000"/>
                                  <w:szCs w:val="24"/>
                                </w:rPr>
                                <m:t>n</m:t>
                              </m:r>
                            </m:sub>
                          </m:sSub>
                        </m:num>
                        <m:den>
                          <m:r>
                            <w:rPr>
                              <w:rFonts w:ascii="Cambria Math" w:eastAsia="Batang" w:hint="eastAsia"/>
                              <w:color w:val="000000"/>
                              <w:szCs w:val="24"/>
                            </w:rPr>
                            <m:t>365</m:t>
                          </m:r>
                        </m:den>
                      </m:f>
                    </m:sup>
                  </m:sSup>
                </m:den>
              </m:f>
              <m:r>
                <w:rPr>
                  <w:rFonts w:ascii="Cambria Math" w:eastAsia="Batang" w:hint="eastAsia"/>
                  <w:color w:val="000000"/>
                  <w:szCs w:val="24"/>
                </w:rPr>
                <m:t xml:space="preserve">                    (1)</m:t>
              </m:r>
            </m:e>
          </m:nary>
        </m:oMath>
      </m:oMathPara>
    </w:p>
    <w:p w14:paraId="2F951F38" w14:textId="77777777" w:rsidR="008C0A68" w:rsidRPr="004A5053" w:rsidRDefault="008C0A68" w:rsidP="008C0A68">
      <w:pPr>
        <w:tabs>
          <w:tab w:val="left" w:pos="993"/>
        </w:tabs>
        <w:spacing w:before="120"/>
        <w:jc w:val="both"/>
        <w:rPr>
          <w:rFonts w:eastAsia="Batang"/>
          <w:color w:val="000000"/>
          <w:szCs w:val="24"/>
        </w:rPr>
      </w:pPr>
      <w:r w:rsidRPr="004A5053">
        <w:rPr>
          <w:rFonts w:eastAsia="Batang"/>
          <w:color w:val="000000"/>
          <w:szCs w:val="24"/>
        </w:rPr>
        <w:t>PV – справедливая стоимость актива (обязательства);</w:t>
      </w:r>
    </w:p>
    <w:p w14:paraId="06DB7A71" w14:textId="77777777" w:rsidR="008C0A68" w:rsidRPr="004A5053" w:rsidRDefault="008C0A68" w:rsidP="008C0A68">
      <w:pPr>
        <w:tabs>
          <w:tab w:val="left" w:pos="993"/>
        </w:tabs>
        <w:spacing w:before="120"/>
        <w:jc w:val="both"/>
        <w:rPr>
          <w:rFonts w:eastAsia="Batang"/>
          <w:color w:val="000000"/>
          <w:szCs w:val="24"/>
        </w:rPr>
      </w:pPr>
      <w:r w:rsidRPr="004A5053">
        <w:rPr>
          <w:rFonts w:eastAsia="Batang"/>
          <w:color w:val="000000"/>
          <w:szCs w:val="24"/>
        </w:rPr>
        <w:t>N - количество денежных потоков до даты погашения актива (обязательства), начиная с даты определения СЧА;</w:t>
      </w:r>
    </w:p>
    <w:p w14:paraId="2CF50563" w14:textId="77777777" w:rsidR="008C0A68" w:rsidRPr="004A5053" w:rsidRDefault="008C0A68" w:rsidP="008C0A68">
      <w:pPr>
        <w:tabs>
          <w:tab w:val="left" w:pos="993"/>
        </w:tabs>
        <w:spacing w:before="120"/>
        <w:jc w:val="both"/>
        <w:rPr>
          <w:rFonts w:eastAsia="Batang"/>
          <w:color w:val="000000"/>
          <w:szCs w:val="24"/>
        </w:rPr>
      </w:pPr>
      <w:r w:rsidRPr="004A5053">
        <w:rPr>
          <w:rFonts w:eastAsia="Batang"/>
          <w:color w:val="000000"/>
          <w:szCs w:val="24"/>
        </w:rPr>
        <w:object w:dxaOrig="279" w:dyaOrig="360" w14:anchorId="4A1CB384">
          <v:shape id="_x0000_i1075" type="#_x0000_t75" style="width:10.35pt;height:16.7pt" o:ole="">
            <v:imagedata r:id="rId83" o:title=""/>
          </v:shape>
          <o:OLEObject Type="Embed" ProgID="Equation.3" ShapeID="_x0000_i1075" DrawAspect="Content" ObjectID="_1849960619" r:id="rId92"/>
        </w:object>
      </w:r>
      <w:r w:rsidRPr="004A5053">
        <w:rPr>
          <w:rFonts w:eastAsia="Batang"/>
          <w:color w:val="000000"/>
          <w:szCs w:val="24"/>
        </w:rPr>
        <w:t xml:space="preserve">  - сумма n-ого денежного потока (проценты и основная сумма); </w:t>
      </w:r>
    </w:p>
    <w:p w14:paraId="4EDC739E" w14:textId="77777777" w:rsidR="008C0A68" w:rsidRPr="004A5053" w:rsidRDefault="008C0A68" w:rsidP="008C0A68">
      <w:pPr>
        <w:tabs>
          <w:tab w:val="left" w:pos="993"/>
        </w:tabs>
        <w:spacing w:before="120"/>
        <w:jc w:val="both"/>
        <w:rPr>
          <w:rFonts w:eastAsia="Batang"/>
          <w:color w:val="000000"/>
          <w:szCs w:val="24"/>
        </w:rPr>
      </w:pPr>
      <w:r w:rsidRPr="004A5053">
        <w:rPr>
          <w:rFonts w:eastAsia="Batang"/>
          <w:color w:val="000000"/>
          <w:szCs w:val="24"/>
        </w:rPr>
        <w:t>n - порядковый номер денежного потока, начиная с даты определения СЧА;</w:t>
      </w:r>
    </w:p>
    <w:p w14:paraId="7A4C4744" w14:textId="77777777" w:rsidR="008C0A68" w:rsidRPr="004A5053" w:rsidRDefault="008C0A68" w:rsidP="008C0A68">
      <w:pPr>
        <w:tabs>
          <w:tab w:val="left" w:pos="993"/>
        </w:tabs>
        <w:spacing w:before="120"/>
        <w:jc w:val="both"/>
        <w:rPr>
          <w:rFonts w:eastAsia="Batang"/>
          <w:color w:val="000000"/>
          <w:szCs w:val="24"/>
        </w:rPr>
      </w:pPr>
      <w:r w:rsidRPr="004A5053">
        <w:rPr>
          <w:rFonts w:eastAsia="Batang"/>
          <w:color w:val="000000"/>
          <w:szCs w:val="24"/>
        </w:rPr>
        <w:object w:dxaOrig="340" w:dyaOrig="360" w14:anchorId="4A1F9EAD">
          <v:shape id="_x0000_i1076" type="#_x0000_t75" style="width:15pt;height:16.7pt" o:ole="">
            <v:imagedata r:id="rId85" o:title=""/>
          </v:shape>
          <o:OLEObject Type="Embed" ProgID="Equation.3" ShapeID="_x0000_i1076" DrawAspect="Content" ObjectID="_1849960620" r:id="rId93"/>
        </w:object>
      </w:r>
      <w:r w:rsidRPr="004A5053">
        <w:rPr>
          <w:rFonts w:eastAsia="Batang"/>
          <w:color w:val="000000"/>
          <w:szCs w:val="24"/>
        </w:rPr>
        <w:t xml:space="preserve">  - количество дней от даты определения СЧА до даты n-ого денежного потока;</w:t>
      </w:r>
    </w:p>
    <w:p w14:paraId="5B56F7DC" w14:textId="77777777" w:rsidR="008C0A68" w:rsidRPr="004A5053" w:rsidRDefault="008C0A68" w:rsidP="008C0A68">
      <w:pPr>
        <w:tabs>
          <w:tab w:val="left" w:pos="993"/>
        </w:tabs>
        <w:spacing w:before="120"/>
        <w:jc w:val="both"/>
        <w:rPr>
          <w:rFonts w:eastAsia="Batang"/>
          <w:color w:val="000000"/>
          <w:szCs w:val="24"/>
        </w:rPr>
      </w:pPr>
      <w:r w:rsidRPr="004A5053">
        <w:rPr>
          <w:rFonts w:eastAsia="Batang"/>
          <w:color w:val="000000"/>
          <w:szCs w:val="24"/>
        </w:rPr>
        <w:t>r  - ставка        дисконтирования    в   процентах   годовых, определенная в соответствии с настоящими Правилами.</w:t>
      </w:r>
    </w:p>
    <w:p w14:paraId="326F8C03" w14:textId="77777777" w:rsidR="008C0A68" w:rsidRDefault="008C0A68" w:rsidP="008C0A68">
      <w:pPr>
        <w:tabs>
          <w:tab w:val="left" w:pos="0"/>
        </w:tabs>
        <w:spacing w:before="120"/>
        <w:jc w:val="both"/>
        <w:rPr>
          <w:rFonts w:eastAsia="Batang"/>
          <w:color w:val="000000"/>
          <w:szCs w:val="24"/>
        </w:rPr>
      </w:pPr>
    </w:p>
    <w:p w14:paraId="7C5B27CD" w14:textId="77777777" w:rsidR="008C0A68" w:rsidRDefault="008C0A68" w:rsidP="008C0A68">
      <w:pPr>
        <w:tabs>
          <w:tab w:val="left" w:pos="993"/>
        </w:tabs>
        <w:spacing w:before="120"/>
        <w:ind w:firstLine="567"/>
        <w:jc w:val="both"/>
        <w:rPr>
          <w:rFonts w:eastAsia="Batang"/>
          <w:color w:val="000000"/>
          <w:szCs w:val="24"/>
        </w:rPr>
      </w:pPr>
      <w:r w:rsidRPr="004A5053">
        <w:rPr>
          <w:rFonts w:eastAsia="Batang"/>
          <w:color w:val="000000"/>
          <w:szCs w:val="24"/>
        </w:rPr>
        <w:t>Для учета в справедливой стоимости обесценения происходит корректировка величины ожидаемых денежных потоков (</w:t>
      </w:r>
      <m:oMath>
        <m:sSub>
          <m:sSubPr>
            <m:ctrlPr>
              <w:rPr>
                <w:rFonts w:ascii="Cambria Math" w:eastAsia="Batang" w:hAnsi="Cambria Math"/>
                <w:i/>
                <w:color w:val="000000"/>
                <w:szCs w:val="24"/>
              </w:rPr>
            </m:ctrlPr>
          </m:sSubPr>
          <m:e>
            <m:r>
              <w:rPr>
                <w:rFonts w:ascii="Cambria Math" w:eastAsia="Batang" w:hAnsi="Cambria Math"/>
                <w:color w:val="000000"/>
                <w:szCs w:val="24"/>
              </w:rPr>
              <m:t>P</m:t>
            </m:r>
          </m:e>
          <m:sub>
            <m:r>
              <w:rPr>
                <w:rFonts w:ascii="Cambria Math" w:eastAsia="Batang" w:hAnsi="Cambria Math"/>
                <w:color w:val="000000"/>
                <w:szCs w:val="24"/>
              </w:rPr>
              <m:t>n</m:t>
            </m:r>
          </m:sub>
        </m:sSub>
      </m:oMath>
      <w:r w:rsidRPr="004A5053">
        <w:rPr>
          <w:rFonts w:eastAsia="Batang"/>
          <w:color w:val="000000"/>
          <w:szCs w:val="24"/>
        </w:rPr>
        <w:t xml:space="preserve">) в соответствии с Приложением </w:t>
      </w:r>
      <w:r>
        <w:rPr>
          <w:rFonts w:eastAsia="Batang"/>
          <w:color w:val="000000"/>
          <w:szCs w:val="24"/>
        </w:rPr>
        <w:t>3</w:t>
      </w:r>
      <w:r w:rsidRPr="004A5053">
        <w:rPr>
          <w:rFonts w:eastAsia="Batang"/>
          <w:color w:val="000000"/>
          <w:szCs w:val="24"/>
        </w:rPr>
        <w:t xml:space="preserve"> к настоящ</w:t>
      </w:r>
      <w:r>
        <w:rPr>
          <w:rFonts w:eastAsia="Batang"/>
          <w:color w:val="000000"/>
          <w:szCs w:val="24"/>
        </w:rPr>
        <w:t>и</w:t>
      </w:r>
      <w:r w:rsidRPr="004A5053">
        <w:rPr>
          <w:rFonts w:eastAsia="Batang"/>
          <w:color w:val="000000"/>
          <w:szCs w:val="24"/>
        </w:rPr>
        <w:t xml:space="preserve">м </w:t>
      </w:r>
      <w:r>
        <w:rPr>
          <w:rFonts w:eastAsia="Batang"/>
          <w:color w:val="000000"/>
          <w:szCs w:val="24"/>
        </w:rPr>
        <w:t>Правилами определения СЧА.</w:t>
      </w:r>
    </w:p>
    <w:p w14:paraId="5012E612" w14:textId="77777777" w:rsidR="008C0A68" w:rsidRDefault="008C0A68" w:rsidP="008C0A68">
      <w:pPr>
        <w:tabs>
          <w:tab w:val="left" w:pos="993"/>
        </w:tabs>
        <w:spacing w:before="120" w:after="200"/>
        <w:jc w:val="both"/>
        <w:rPr>
          <w:rFonts w:eastAsia="Batang"/>
          <w:color w:val="000000"/>
          <w:szCs w:val="24"/>
        </w:rPr>
      </w:pPr>
      <w:r>
        <w:rPr>
          <w:rFonts w:eastAsia="Batang"/>
          <w:color w:val="000000"/>
          <w:szCs w:val="24"/>
        </w:rPr>
        <w:t xml:space="preserve">Порядок </w:t>
      </w:r>
      <w:r w:rsidRPr="00513389">
        <w:rPr>
          <w:rFonts w:eastAsia="Batang"/>
          <w:color w:val="000000"/>
          <w:szCs w:val="24"/>
        </w:rPr>
        <w:t>определения и корректировки потоков денежных средств</w:t>
      </w:r>
    </w:p>
    <w:p w14:paraId="00113176" w14:textId="77777777" w:rsidR="008C0A68" w:rsidRDefault="008C0A68" w:rsidP="008C0A68">
      <w:pPr>
        <w:tabs>
          <w:tab w:val="left" w:pos="993"/>
        </w:tabs>
        <w:spacing w:before="120"/>
        <w:ind w:firstLine="567"/>
        <w:jc w:val="both"/>
        <w:rPr>
          <w:rFonts w:eastAsia="Batang"/>
          <w:color w:val="000000"/>
          <w:szCs w:val="24"/>
        </w:rPr>
      </w:pPr>
      <w:r w:rsidRPr="00513389">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ожидаемая дата, в которую планируется поступление денежных средств, соответствующая дате окончания n-ого периода (за исключением случаев досрочного погашения основного долга).</w:t>
      </w:r>
    </w:p>
    <w:p w14:paraId="2EA32514" w14:textId="77777777" w:rsidR="008C0A68" w:rsidRPr="00513389" w:rsidRDefault="008C0A68" w:rsidP="008C0A68">
      <w:pPr>
        <w:tabs>
          <w:tab w:val="left" w:pos="993"/>
        </w:tabs>
        <w:spacing w:before="120"/>
        <w:ind w:firstLine="567"/>
        <w:jc w:val="both"/>
        <w:rPr>
          <w:rFonts w:eastAsia="Batang"/>
          <w:color w:val="000000"/>
          <w:szCs w:val="24"/>
        </w:rPr>
      </w:pPr>
      <w:r w:rsidRPr="00513389">
        <w:rPr>
          <w:rFonts w:eastAsia="Batang"/>
          <w:color w:val="000000"/>
          <w:szCs w:val="24"/>
        </w:rPr>
        <w:t>Суммы денежных потоков рассчитываются с учетом капитализации процентных доходов, если это предусмотрено условиями договора.</w:t>
      </w:r>
    </w:p>
    <w:p w14:paraId="43D2465C" w14:textId="77777777" w:rsidR="008C0A68" w:rsidRPr="004A5053" w:rsidRDefault="008C0A68" w:rsidP="008C0A68">
      <w:pPr>
        <w:tabs>
          <w:tab w:val="left" w:pos="0"/>
        </w:tabs>
        <w:spacing w:before="120"/>
        <w:jc w:val="both"/>
        <w:rPr>
          <w:rFonts w:eastAsia="Batang"/>
          <w:sz w:val="20"/>
        </w:rPr>
      </w:pPr>
      <w:r w:rsidRPr="004A5053">
        <w:rPr>
          <w:rFonts w:eastAsia="Batang"/>
          <w:color w:val="000000"/>
          <w:szCs w:val="24"/>
        </w:rPr>
        <w:t xml:space="preserve">График денежных потоков корректируется в случае: </w:t>
      </w:r>
    </w:p>
    <w:p w14:paraId="74E21395" w14:textId="77777777" w:rsidR="008C0A68" w:rsidRPr="004A5053" w:rsidRDefault="008C0A68" w:rsidP="004872F3">
      <w:pPr>
        <w:numPr>
          <w:ilvl w:val="0"/>
          <w:numId w:val="13"/>
        </w:numPr>
        <w:tabs>
          <w:tab w:val="left" w:pos="993"/>
        </w:tabs>
        <w:spacing w:before="120" w:after="200"/>
        <w:ind w:left="284"/>
        <w:jc w:val="both"/>
        <w:rPr>
          <w:rFonts w:eastAsia="Batang"/>
          <w:color w:val="000000"/>
          <w:szCs w:val="24"/>
        </w:rPr>
      </w:pPr>
      <w:r w:rsidRPr="004A5053">
        <w:rPr>
          <w:rFonts w:eastAsia="Batang"/>
          <w:color w:val="000000"/>
          <w:szCs w:val="24"/>
        </w:rPr>
        <w:t>внесения изменений в договор (в т.ч. в части изменения ставки по договору, срока действия договора, периодичности или сроков выплаты процентных доходов);</w:t>
      </w:r>
    </w:p>
    <w:p w14:paraId="20162501" w14:textId="77777777" w:rsidR="008C0A68" w:rsidRPr="004A5053" w:rsidRDefault="008C0A68" w:rsidP="004872F3">
      <w:pPr>
        <w:numPr>
          <w:ilvl w:val="0"/>
          <w:numId w:val="13"/>
        </w:numPr>
        <w:tabs>
          <w:tab w:val="left" w:pos="993"/>
        </w:tabs>
        <w:spacing w:before="120" w:after="200"/>
        <w:ind w:left="284"/>
        <w:jc w:val="both"/>
        <w:rPr>
          <w:rFonts w:eastAsia="Batang"/>
          <w:color w:val="000000"/>
          <w:szCs w:val="24"/>
        </w:rPr>
      </w:pPr>
      <w:r w:rsidRPr="004A5053">
        <w:rPr>
          <w:rFonts w:eastAsia="Batang"/>
          <w:color w:val="000000"/>
          <w:szCs w:val="24"/>
        </w:rPr>
        <w:t>изменения суммы основного долга (пополнения, частичного погашения, если оно не было учтено графиком).</w:t>
      </w:r>
    </w:p>
    <w:p w14:paraId="0C96642B" w14:textId="77777777" w:rsidR="008C0A68" w:rsidRPr="00513389" w:rsidRDefault="008C0A68" w:rsidP="008C0A68">
      <w:pPr>
        <w:tabs>
          <w:tab w:val="left" w:pos="993"/>
        </w:tabs>
        <w:spacing w:before="120" w:after="200"/>
        <w:ind w:left="360"/>
        <w:jc w:val="both"/>
        <w:rPr>
          <w:rFonts w:eastAsia="Batang"/>
          <w:color w:val="000000"/>
          <w:szCs w:val="24"/>
        </w:rPr>
      </w:pPr>
      <w:r w:rsidRPr="00513389">
        <w:rPr>
          <w:rFonts w:eastAsia="Batang"/>
          <w:color w:val="000000"/>
          <w:szCs w:val="24"/>
        </w:rPr>
        <w:t>Порядок</w:t>
      </w:r>
      <w:r>
        <w:rPr>
          <w:rFonts w:eastAsia="Batang"/>
          <w:color w:val="000000"/>
          <w:szCs w:val="24"/>
        </w:rPr>
        <w:t xml:space="preserve"> проверки рыночности</w:t>
      </w:r>
      <w:r w:rsidRPr="00513389">
        <w:rPr>
          <w:rFonts w:eastAsia="Batang"/>
          <w:color w:val="000000"/>
          <w:szCs w:val="24"/>
        </w:rPr>
        <w:t xml:space="preserve"> </w:t>
      </w:r>
      <w:r>
        <w:rPr>
          <w:rFonts w:eastAsia="Batang"/>
          <w:color w:val="000000"/>
          <w:szCs w:val="24"/>
        </w:rPr>
        <w:t>ставки дисконтирования и корректировки при отклонении.</w:t>
      </w:r>
    </w:p>
    <w:p w14:paraId="008D8012" w14:textId="77777777" w:rsidR="008C0A68" w:rsidRPr="00513389" w:rsidRDefault="008C0A68" w:rsidP="008C0A68">
      <w:pPr>
        <w:tabs>
          <w:tab w:val="left" w:pos="993"/>
        </w:tabs>
        <w:spacing w:before="120"/>
        <w:ind w:firstLine="567"/>
        <w:jc w:val="both"/>
        <w:rPr>
          <w:rFonts w:eastAsia="Batang"/>
          <w:color w:val="000000"/>
          <w:szCs w:val="24"/>
        </w:rPr>
      </w:pPr>
      <w:r w:rsidRPr="00513389">
        <w:rPr>
          <w:rFonts w:eastAsia="Batang"/>
          <w:color w:val="000000"/>
          <w:szCs w:val="24"/>
        </w:rPr>
        <w:t>Ставка дисконтирования равна:</w:t>
      </w:r>
    </w:p>
    <w:p w14:paraId="4F76D9BA" w14:textId="77777777" w:rsidR="008C0A68" w:rsidRDefault="008C0A68" w:rsidP="008C0A68">
      <w:pPr>
        <w:tabs>
          <w:tab w:val="left" w:pos="993"/>
        </w:tabs>
        <w:spacing w:before="120"/>
        <w:ind w:firstLine="567"/>
        <w:jc w:val="both"/>
        <w:rPr>
          <w:rFonts w:eastAsia="Batang"/>
          <w:color w:val="000000"/>
          <w:szCs w:val="24"/>
        </w:rPr>
      </w:pPr>
      <w:r w:rsidRPr="00513389">
        <w:rPr>
          <w:rFonts w:eastAsia="Batang"/>
          <w:color w:val="000000"/>
          <w:szCs w:val="24"/>
        </w:rPr>
        <w:t>1)</w:t>
      </w:r>
      <w:r w:rsidRPr="00513389">
        <w:rPr>
          <w:rFonts w:eastAsia="Batang"/>
          <w:color w:val="000000"/>
          <w:szCs w:val="24"/>
        </w:rPr>
        <w:tab/>
        <w:t>ставке, предусмотренной договором в течение максимального срока, если ее  значение находится в пределах диапазона колебаний рыночной ставки на горизонте 3 месяцев с учетом последней раскрытой ставки.</w:t>
      </w:r>
    </w:p>
    <w:p w14:paraId="1D8B8E57" w14:textId="77777777" w:rsidR="008C0A68" w:rsidRPr="00C67501" w:rsidRDefault="008C0A68" w:rsidP="008C0A68">
      <w:pPr>
        <w:tabs>
          <w:tab w:val="left" w:pos="993"/>
        </w:tabs>
        <w:spacing w:before="120"/>
        <w:ind w:firstLine="567"/>
        <w:jc w:val="both"/>
        <w:rPr>
          <w:rFonts w:eastAsia="Batang"/>
          <w:color w:val="000000"/>
          <w:szCs w:val="24"/>
        </w:rPr>
      </w:pPr>
      <w:r w:rsidRPr="00C67501">
        <w:rPr>
          <w:rFonts w:eastAsia="Batang"/>
          <w:color w:val="000000"/>
          <w:szCs w:val="24"/>
        </w:rPr>
        <w:t>Диапазон рыночных ставок определяется в пределах (включительно):</w:t>
      </w:r>
    </w:p>
    <w:p w14:paraId="0DE04F6A" w14:textId="77777777" w:rsidR="008C0A68" w:rsidRPr="00C67501" w:rsidRDefault="008C0A68" w:rsidP="008C0A68">
      <w:pPr>
        <w:tabs>
          <w:tab w:val="left" w:pos="993"/>
        </w:tabs>
        <w:spacing w:before="120"/>
        <w:ind w:firstLine="567"/>
        <w:jc w:val="both"/>
        <w:rPr>
          <w:rFonts w:eastAsia="Batang"/>
          <w:color w:val="000000"/>
          <w:szCs w:val="24"/>
        </w:rPr>
      </w:pPr>
      <w:r w:rsidRPr="00C67501">
        <w:rPr>
          <w:rFonts w:eastAsia="Batang"/>
          <w:color w:val="000000"/>
          <w:szCs w:val="24"/>
        </w:rPr>
        <w:lastRenderedPageBreak/>
        <w:t>от минимальной рыночной ставки, равной значению рыночной ставки на горизонте 3 месяцев с учетом последней раскрытой ставки, уменьшенному на величину спреда (</w:t>
      </w:r>
      <m:oMath>
        <m:sSub>
          <m:sSubPr>
            <m:ctrlPr>
              <w:rPr>
                <w:rFonts w:ascii="Cambria Math" w:eastAsia="Batang" w:hAnsi="Cambria Math"/>
                <w:color w:val="000000"/>
                <w:szCs w:val="24"/>
              </w:rPr>
            </m:ctrlPr>
          </m:sSubPr>
          <m:e>
            <m:r>
              <m:rPr>
                <m:sty m:val="p"/>
              </m:rPr>
              <w:rPr>
                <w:rFonts w:ascii="Cambria Math" w:eastAsia="Batang" w:hAnsi="Cambria Math"/>
                <w:color w:val="000000"/>
                <w:szCs w:val="24"/>
              </w:rPr>
              <m:t>r</m:t>
            </m:r>
          </m:e>
          <m:sub>
            <m:r>
              <m:rPr>
                <m:sty m:val="p"/>
              </m:rPr>
              <w:rPr>
                <w:rFonts w:ascii="Cambria Math" w:eastAsia="Batang" w:hAnsi="Cambria Math"/>
                <w:color w:val="000000"/>
                <w:szCs w:val="24"/>
              </w:rPr>
              <m:t>рын.мин</m:t>
            </m:r>
          </m:sub>
        </m:sSub>
      </m:oMath>
      <w:r w:rsidRPr="00C67501">
        <w:rPr>
          <w:rFonts w:eastAsia="Batang"/>
          <w:color w:val="000000"/>
          <w:szCs w:val="24"/>
        </w:rPr>
        <w:t>),</w:t>
      </w:r>
    </w:p>
    <w:p w14:paraId="715344A3" w14:textId="77777777" w:rsidR="008C0A68" w:rsidRPr="00C67501" w:rsidRDefault="008C0A68" w:rsidP="008C0A68">
      <w:pPr>
        <w:tabs>
          <w:tab w:val="left" w:pos="993"/>
        </w:tabs>
        <w:spacing w:before="120"/>
        <w:ind w:firstLine="567"/>
        <w:jc w:val="both"/>
        <w:rPr>
          <w:rFonts w:eastAsia="Batang"/>
          <w:color w:val="000000"/>
          <w:szCs w:val="24"/>
        </w:rPr>
      </w:pPr>
      <w:r w:rsidRPr="00C67501">
        <w:rPr>
          <w:rFonts w:eastAsia="Batang"/>
          <w:color w:val="000000"/>
          <w:szCs w:val="24"/>
        </w:rPr>
        <w:t>до максимальной рыночной ставки, равной значению рыночной ставки на горизонте 3 месяцев с учетом последней раскрытой ставки, увеличенному на величину спреда (</w:t>
      </w:r>
      <m:oMath>
        <m:sSub>
          <m:sSubPr>
            <m:ctrlPr>
              <w:rPr>
                <w:rFonts w:ascii="Cambria Math" w:eastAsia="Batang" w:hAnsi="Cambria Math"/>
                <w:color w:val="000000"/>
                <w:szCs w:val="24"/>
              </w:rPr>
            </m:ctrlPr>
          </m:sSubPr>
          <m:e>
            <m:r>
              <w:rPr>
                <w:rFonts w:ascii="Cambria Math" w:eastAsia="Batang" w:hAnsi="Cambria Math"/>
                <w:color w:val="000000"/>
                <w:szCs w:val="24"/>
              </w:rPr>
              <m:t>r</m:t>
            </m:r>
          </m:e>
          <m:sub>
            <m:r>
              <m:rPr>
                <m:sty m:val="p"/>
              </m:rPr>
              <w:rPr>
                <w:rFonts w:ascii="Cambria Math" w:eastAsia="Batang" w:hAnsi="Cambria Math"/>
                <w:color w:val="000000"/>
                <w:szCs w:val="24"/>
              </w:rPr>
              <m:t>рын.макс</m:t>
            </m:r>
          </m:sub>
        </m:sSub>
      </m:oMath>
      <w:r w:rsidRPr="00C67501">
        <w:rPr>
          <w:rFonts w:eastAsia="Batang"/>
          <w:color w:val="000000"/>
          <w:szCs w:val="24"/>
        </w:rPr>
        <w:t>).</w:t>
      </w:r>
    </w:p>
    <w:p w14:paraId="227D04B9" w14:textId="77777777" w:rsidR="008C0A68" w:rsidRPr="00C67501" w:rsidRDefault="008C0A68" w:rsidP="008C0A68">
      <w:pPr>
        <w:tabs>
          <w:tab w:val="left" w:pos="993"/>
        </w:tabs>
        <w:ind w:left="1434"/>
        <w:jc w:val="both"/>
        <w:rPr>
          <w:rFonts w:ascii="Verdana" w:eastAsia="Batang" w:hAnsi="Verdana"/>
          <w:sz w:val="22"/>
        </w:rPr>
      </w:pPr>
    </w:p>
    <w:p w14:paraId="312AE913" w14:textId="77777777" w:rsidR="008C0A68" w:rsidRPr="00C67501" w:rsidRDefault="008C0A68" w:rsidP="008C0A68">
      <w:pPr>
        <w:tabs>
          <w:tab w:val="left" w:pos="993"/>
        </w:tabs>
        <w:ind w:left="709"/>
        <w:jc w:val="both"/>
        <w:rPr>
          <w:rFonts w:ascii="Verdana" w:eastAsia="Batang" w:hAnsi="Verdana"/>
        </w:rPr>
      </w:pPr>
      <w:r w:rsidRPr="00C67501">
        <w:rPr>
          <w:rFonts w:eastAsia="Batang"/>
          <w:color w:val="000000"/>
          <w:szCs w:val="24"/>
        </w:rPr>
        <w:t>Спред (допустимое отклонение в процентах от значения рыночной ставки) устанавливается в размере стандартного отклонение (</w:t>
      </w:r>
      <m:oMath>
        <m:r>
          <m:rPr>
            <m:sty m:val="p"/>
          </m:rPr>
          <w:rPr>
            <w:rFonts w:ascii="Cambria Math" w:eastAsia="Batang" w:hAnsi="Cambria Math"/>
            <w:color w:val="000000"/>
            <w:szCs w:val="24"/>
          </w:rPr>
          <m:t>σ</m:t>
        </m:r>
      </m:oMath>
      <w:r w:rsidRPr="00C67501">
        <w:rPr>
          <w:rFonts w:eastAsia="Batang"/>
          <w:color w:val="000000"/>
          <w:szCs w:val="24"/>
        </w:rPr>
        <w:t>) рыночных ставок на горизонте 3 месяцев с учетом последней раскрытой рыночной ставки и определяется по формуле</w:t>
      </w:r>
      <w:r w:rsidRPr="00C67501">
        <w:rPr>
          <w:rFonts w:eastAsia="Batang"/>
          <w:sz w:val="22"/>
          <w:vertAlign w:val="superscript"/>
        </w:rPr>
        <w:footnoteReference w:id="9"/>
      </w:r>
      <w:r w:rsidRPr="00C67501">
        <w:rPr>
          <w:rFonts w:eastAsia="Batang"/>
          <w:color w:val="000000"/>
          <w:szCs w:val="24"/>
        </w:rPr>
        <w:t>:</w:t>
      </w:r>
    </w:p>
    <w:p w14:paraId="563C5CC3" w14:textId="77777777" w:rsidR="008C0A68" w:rsidRPr="00C67501" w:rsidRDefault="008C0A68" w:rsidP="008C0A68">
      <w:pPr>
        <w:tabs>
          <w:tab w:val="left" w:pos="567"/>
        </w:tabs>
        <w:ind w:left="567"/>
        <w:contextualSpacing/>
        <w:jc w:val="both"/>
        <w:rPr>
          <w:rFonts w:ascii="Verdana" w:eastAsia="Calibri" w:hAnsi="Verdana"/>
          <w:sz w:val="22"/>
          <w:szCs w:val="22"/>
          <w:highlight w:val="yellow"/>
          <w:lang w:eastAsia="en-US"/>
        </w:rPr>
      </w:pPr>
    </w:p>
    <w:p w14:paraId="64BF7D07" w14:textId="77777777" w:rsidR="008C0A68" w:rsidRDefault="008C0A68" w:rsidP="008C0A68">
      <w:pPr>
        <w:tabs>
          <w:tab w:val="left" w:pos="567"/>
        </w:tabs>
        <w:ind w:left="567"/>
        <w:contextualSpacing/>
        <w:jc w:val="both"/>
        <w:rPr>
          <w:rFonts w:eastAsia="Batang"/>
          <w:color w:val="000000"/>
          <w:szCs w:val="24"/>
        </w:rPr>
      </w:pPr>
      <m:oMath>
        <m:r>
          <m:rPr>
            <m:sty m:val="p"/>
          </m:rPr>
          <w:rPr>
            <w:rFonts w:ascii="Cambria Math" w:hAnsi="Cambria Math" w:hint="eastAsia"/>
            <w:color w:val="000000"/>
            <w:szCs w:val="24"/>
          </w:rPr>
          <m:t>σ</m:t>
        </m:r>
        <m:r>
          <m:rPr>
            <m:sty m:val="p"/>
          </m:rPr>
          <w:rPr>
            <w:rFonts w:ascii="Cambria Math" w:hAnsi="Cambria Math"/>
            <w:color w:val="000000"/>
            <w:szCs w:val="24"/>
          </w:rPr>
          <m:t>=</m:t>
        </m:r>
        <m:r>
          <m:rPr>
            <m:sty m:val="p"/>
          </m:rPr>
          <w:rPr>
            <w:rFonts w:ascii="Cambria Math" w:hAnsi="Cambria Math"/>
            <w:color w:val="000000"/>
            <w:sz w:val="22"/>
            <w:szCs w:val="24"/>
          </w:rPr>
          <m:t xml:space="preserve">ОКРУГЛ ( </m:t>
        </m:r>
        <m:rad>
          <m:radPr>
            <m:degHide m:val="1"/>
            <m:ctrlPr>
              <w:rPr>
                <w:rFonts w:ascii="Cambria Math" w:hAnsi="Cambria Math"/>
                <w:color w:val="000000"/>
                <w:sz w:val="22"/>
                <w:szCs w:val="24"/>
              </w:rPr>
            </m:ctrlPr>
          </m:radPr>
          <m:deg/>
          <m:e>
            <m:f>
              <m:fPr>
                <m:ctrlPr>
                  <w:rPr>
                    <w:rFonts w:ascii="Cambria Math" w:hAnsi="Cambria Math"/>
                    <w:i/>
                    <w:color w:val="000000"/>
                    <w:szCs w:val="24"/>
                  </w:rPr>
                </m:ctrlPr>
              </m:fPr>
              <m:num>
                <m:sSup>
                  <m:sSupPr>
                    <m:ctrlPr>
                      <w:rPr>
                        <w:rFonts w:ascii="Cambria Math" w:hAnsi="Cambria Math"/>
                        <w:i/>
                        <w:color w:val="000000"/>
                        <w:szCs w:val="24"/>
                      </w:rPr>
                    </m:ctrlPr>
                  </m:sSupPr>
                  <m:e>
                    <m:nary>
                      <m:naryPr>
                        <m:chr m:val="∑"/>
                        <m:limLoc m:val="undOvr"/>
                        <m:ctrlPr>
                          <w:rPr>
                            <w:rFonts w:ascii="Cambria Math" w:hAnsi="Cambria Math"/>
                            <w:color w:val="000000"/>
                            <w:szCs w:val="24"/>
                          </w:rPr>
                        </m:ctrlPr>
                      </m:naryPr>
                      <m:sub>
                        <m:r>
                          <w:rPr>
                            <w:rFonts w:ascii="Cambria Math" w:hAnsi="Cambria Math"/>
                            <w:color w:val="000000"/>
                            <w:szCs w:val="24"/>
                            <w:lang w:val="en-US"/>
                          </w:rPr>
                          <m:t>i</m:t>
                        </m:r>
                        <m:r>
                          <w:rPr>
                            <w:rFonts w:ascii="Cambria Math" w:hAnsi="Cambria Math"/>
                            <w:color w:val="000000"/>
                            <w:szCs w:val="24"/>
                          </w:rPr>
                          <m:t>=1</m:t>
                        </m:r>
                      </m:sub>
                      <m:sup>
                        <m:r>
                          <m:rPr>
                            <m:sty m:val="p"/>
                          </m:rPr>
                          <w:rPr>
                            <w:rFonts w:ascii="Cambria Math" w:hAnsi="Cambria Math"/>
                            <w:color w:val="000000"/>
                            <w:szCs w:val="24"/>
                          </w:rPr>
                          <m:t>3</m:t>
                        </m:r>
                      </m:sup>
                      <m:e>
                        <m:r>
                          <w:rPr>
                            <w:rFonts w:ascii="Cambria Math" w:hAnsi="Cambria Math"/>
                            <w:color w:val="000000"/>
                            <w:szCs w:val="24"/>
                          </w:rPr>
                          <m:t>(</m:t>
                        </m:r>
                        <m:sSub>
                          <m:sSubPr>
                            <m:ctrlPr>
                              <w:rPr>
                                <w:rFonts w:ascii="Cambria Math" w:hAnsi="Cambria Math"/>
                                <w:i/>
                                <w:color w:val="000000"/>
                                <w:szCs w:val="24"/>
                              </w:rPr>
                            </m:ctrlPr>
                          </m:sSubPr>
                          <m:e>
                            <m:r>
                              <w:rPr>
                                <w:rFonts w:ascii="Cambria Math" w:hAnsi="Cambria Math"/>
                                <w:color w:val="000000"/>
                                <w:szCs w:val="24"/>
                                <w:lang w:val="en-US"/>
                              </w:rPr>
                              <m:t>r</m:t>
                            </m:r>
                          </m:e>
                          <m:sub>
                            <m:sSub>
                              <m:sSubPr>
                                <m:ctrlPr>
                                  <w:rPr>
                                    <w:rFonts w:ascii="Cambria Math" w:hAnsi="Cambria Math"/>
                                    <w:i/>
                                    <w:color w:val="000000"/>
                                    <w:szCs w:val="24"/>
                                  </w:rPr>
                                </m:ctrlPr>
                              </m:sSubPr>
                              <m:e>
                                <m:r>
                                  <w:rPr>
                                    <w:rFonts w:ascii="Cambria Math" w:hAnsi="Cambria Math" w:hint="eastAsia"/>
                                    <w:color w:val="000000"/>
                                    <w:szCs w:val="24"/>
                                  </w:rPr>
                                  <m:t>рын</m:t>
                                </m:r>
                              </m:e>
                              <m:sub>
                                <m:r>
                                  <w:rPr>
                                    <w:rFonts w:ascii="Cambria Math" w:hAnsi="Cambria Math"/>
                                    <w:color w:val="000000"/>
                                    <w:szCs w:val="24"/>
                                    <w:lang w:val="en-US"/>
                                  </w:rPr>
                                  <m:t>i</m:t>
                                </m:r>
                              </m:sub>
                            </m:sSub>
                          </m:sub>
                        </m:sSub>
                      </m:e>
                    </m:nary>
                    <m:r>
                      <w:rPr>
                        <w:rFonts w:ascii="Cambria Math" w:hAnsi="Cambria Math"/>
                        <w:color w:val="000000"/>
                        <w:szCs w:val="24"/>
                      </w:rPr>
                      <m:t>-</m:t>
                    </m:r>
                    <m:bar>
                      <m:barPr>
                        <m:pos m:val="top"/>
                        <m:ctrlPr>
                          <w:rPr>
                            <w:rFonts w:ascii="Cambria Math" w:hAnsi="Cambria Math"/>
                            <w:i/>
                            <w:color w:val="000000"/>
                            <w:szCs w:val="24"/>
                            <w:lang w:val="en-US"/>
                          </w:rPr>
                        </m:ctrlPr>
                      </m:barPr>
                      <m:e>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hint="eastAsia"/>
                                <w:color w:val="000000"/>
                                <w:szCs w:val="24"/>
                              </w:rPr>
                              <m:t>рын</m:t>
                            </m:r>
                          </m:sub>
                        </m:sSub>
                      </m:e>
                    </m:bar>
                    <m:r>
                      <m:rPr>
                        <m:sty m:val="p"/>
                      </m:rPr>
                      <w:rPr>
                        <w:rFonts w:ascii="Cambria Math" w:eastAsia="Calibri" w:hAnsi="Cambria Math"/>
                        <w:color w:val="000000"/>
                        <w:szCs w:val="24"/>
                      </w:rPr>
                      <m:t>)</m:t>
                    </m:r>
                  </m:e>
                  <m:sup>
                    <m:r>
                      <w:rPr>
                        <w:rFonts w:ascii="Cambria Math" w:hAnsi="Cambria Math"/>
                        <w:color w:val="000000"/>
                        <w:szCs w:val="24"/>
                      </w:rPr>
                      <m:t>2</m:t>
                    </m:r>
                  </m:sup>
                </m:sSup>
              </m:num>
              <m:den>
                <m:r>
                  <w:rPr>
                    <w:rFonts w:ascii="Cambria Math" w:hAnsi="Cambria Math"/>
                    <w:color w:val="000000"/>
                    <w:szCs w:val="24"/>
                  </w:rPr>
                  <m:t>3</m:t>
                </m:r>
              </m:den>
            </m:f>
          </m:e>
        </m:rad>
      </m:oMath>
      <w:r>
        <w:rPr>
          <w:rFonts w:eastAsia="Batang"/>
          <w:color w:val="000000"/>
          <w:sz w:val="22"/>
          <w:szCs w:val="24"/>
        </w:rPr>
        <w:t>; 2)</w:t>
      </w:r>
    </w:p>
    <w:p w14:paraId="212C6DBB" w14:textId="77777777" w:rsidR="008C0A68" w:rsidRDefault="008C0A68" w:rsidP="008C0A68">
      <w:pPr>
        <w:tabs>
          <w:tab w:val="left" w:pos="567"/>
        </w:tabs>
        <w:ind w:left="567"/>
        <w:contextualSpacing/>
        <w:jc w:val="both"/>
        <w:rPr>
          <w:rFonts w:eastAsia="Batang"/>
          <w:color w:val="000000"/>
          <w:szCs w:val="24"/>
        </w:rPr>
      </w:pPr>
    </w:p>
    <w:p w14:paraId="407A5FE6" w14:textId="77777777" w:rsidR="008C0A68" w:rsidRPr="00B14325" w:rsidRDefault="008C0A68" w:rsidP="008C0A68">
      <w:pPr>
        <w:tabs>
          <w:tab w:val="left" w:pos="567"/>
        </w:tabs>
        <w:ind w:left="567"/>
        <w:contextualSpacing/>
        <w:jc w:val="both"/>
        <w:rPr>
          <w:rFonts w:eastAsia="Batang"/>
          <w:color w:val="000000"/>
          <w:szCs w:val="24"/>
        </w:rPr>
      </w:pPr>
      <w:r w:rsidRPr="00B14325">
        <w:rPr>
          <w:rFonts w:eastAsia="Batang"/>
          <w:color w:val="000000"/>
          <w:szCs w:val="24"/>
        </w:rPr>
        <w:t>где:</w:t>
      </w:r>
      <w:r w:rsidRPr="00B14325">
        <w:rPr>
          <w:rFonts w:eastAsia="Batang"/>
          <w:color w:val="000000"/>
          <w:szCs w:val="24"/>
        </w:rPr>
        <w:tab/>
      </w:r>
    </w:p>
    <w:p w14:paraId="31BDC08A" w14:textId="77777777" w:rsidR="008C0A68" w:rsidRPr="00B14325" w:rsidRDefault="008C0A68" w:rsidP="008C0A68">
      <w:pPr>
        <w:ind w:left="1134"/>
        <w:jc w:val="both"/>
        <w:rPr>
          <w:szCs w:val="22"/>
          <w:lang w:eastAsia="en-US"/>
        </w:rPr>
      </w:pPr>
      <m:oMath>
        <m:r>
          <m:rPr>
            <m:sty m:val="p"/>
          </m:rPr>
          <w:rPr>
            <w:rFonts w:ascii="Cambria Math" w:hAnsi="Cambria Math"/>
            <w:color w:val="000000"/>
            <w:sz w:val="32"/>
            <w:szCs w:val="24"/>
          </w:rPr>
          <m:t>σ</m:t>
        </m:r>
      </m:oMath>
      <w:r w:rsidRPr="00B14325">
        <w:rPr>
          <w:szCs w:val="22"/>
          <w:lang w:eastAsia="en-US"/>
        </w:rPr>
        <w:tab/>
      </w:r>
      <w:r w:rsidRPr="00B14325">
        <w:rPr>
          <w:szCs w:val="22"/>
          <w:lang w:eastAsia="en-US"/>
        </w:rPr>
        <w:tab/>
        <w:t xml:space="preserve"> </w:t>
      </w:r>
      <w:r w:rsidRPr="00B14325">
        <w:rPr>
          <w:sz w:val="22"/>
          <w:lang w:eastAsia="en-US"/>
        </w:rPr>
        <w:t xml:space="preserve">– </w:t>
      </w:r>
      <w:r w:rsidRPr="00B14325">
        <w:rPr>
          <w:sz w:val="22"/>
          <w:lang w:eastAsia="en-US"/>
        </w:rPr>
        <w:tab/>
        <w:t>стандартное отклонение рыночных ставок;</w:t>
      </w:r>
    </w:p>
    <w:p w14:paraId="57903AA2" w14:textId="77777777" w:rsidR="008C0A68" w:rsidRPr="00B14325" w:rsidRDefault="002B470C" w:rsidP="008C0A68">
      <w:pPr>
        <w:ind w:left="1134"/>
        <w:jc w:val="both"/>
        <w:rPr>
          <w:szCs w:val="22"/>
          <w:lang w:eastAsia="en-US"/>
        </w:rPr>
      </w:pPr>
      <m:oMath>
        <m:sSub>
          <m:sSubPr>
            <m:ctrlPr>
              <w:rPr>
                <w:rFonts w:ascii="Cambria Math" w:hAnsi="Cambria Math"/>
                <w:i/>
                <w:color w:val="000000"/>
                <w:sz w:val="32"/>
                <w:szCs w:val="24"/>
              </w:rPr>
            </m:ctrlPr>
          </m:sSubPr>
          <m:e>
            <m:r>
              <w:rPr>
                <w:rFonts w:ascii="Cambria Math" w:hAnsi="Cambria Math"/>
                <w:color w:val="000000"/>
                <w:sz w:val="32"/>
                <w:szCs w:val="24"/>
                <w:lang w:val="en-US"/>
              </w:rPr>
              <m:t>r</m:t>
            </m:r>
          </m:e>
          <m:sub>
            <m:sSub>
              <m:sSubPr>
                <m:ctrlPr>
                  <w:rPr>
                    <w:rFonts w:ascii="Cambria Math" w:hAnsi="Cambria Math"/>
                    <w:i/>
                    <w:color w:val="000000"/>
                    <w:sz w:val="32"/>
                    <w:szCs w:val="24"/>
                  </w:rPr>
                </m:ctrlPr>
              </m:sSubPr>
              <m:e>
                <m:r>
                  <w:rPr>
                    <w:rFonts w:ascii="Cambria Math" w:hAnsi="Cambria Math"/>
                    <w:color w:val="000000"/>
                    <w:sz w:val="32"/>
                    <w:szCs w:val="24"/>
                  </w:rPr>
                  <m:t>рын</m:t>
                </m:r>
              </m:e>
              <m:sub>
                <m:r>
                  <w:rPr>
                    <w:rFonts w:ascii="Cambria Math" w:hAnsi="Cambria Math"/>
                    <w:color w:val="000000"/>
                    <w:sz w:val="32"/>
                    <w:szCs w:val="24"/>
                    <w:lang w:val="en-US"/>
                  </w:rPr>
                  <m:t>i</m:t>
                </m:r>
              </m:sub>
            </m:sSub>
          </m:sub>
        </m:sSub>
      </m:oMath>
      <w:r w:rsidR="008C0A68" w:rsidRPr="00B14325">
        <w:rPr>
          <w:color w:val="000000"/>
          <w:sz w:val="32"/>
          <w:szCs w:val="24"/>
        </w:rPr>
        <w:t xml:space="preserve"> </w:t>
      </w:r>
      <w:r w:rsidR="008C0A68" w:rsidRPr="00B14325">
        <w:rPr>
          <w:color w:val="000000"/>
          <w:sz w:val="32"/>
          <w:szCs w:val="24"/>
        </w:rPr>
        <w:tab/>
      </w:r>
      <w:r w:rsidR="008C0A68" w:rsidRPr="00B14325">
        <w:rPr>
          <w:sz w:val="22"/>
          <w:lang w:eastAsia="en-US"/>
        </w:rPr>
        <w:t xml:space="preserve">– </w:t>
      </w:r>
      <w:r w:rsidR="008C0A68" w:rsidRPr="00B14325">
        <w:rPr>
          <w:sz w:val="22"/>
          <w:lang w:eastAsia="en-US"/>
        </w:rPr>
        <w:tab/>
        <w:t>значение рыночной ставки;</w:t>
      </w:r>
    </w:p>
    <w:p w14:paraId="53264426" w14:textId="77777777" w:rsidR="008C0A68" w:rsidRPr="00B14325" w:rsidRDefault="002B470C" w:rsidP="008C0A68">
      <w:pPr>
        <w:ind w:left="1134"/>
        <w:jc w:val="both"/>
        <w:rPr>
          <w:sz w:val="22"/>
          <w:szCs w:val="22"/>
          <w:lang w:eastAsia="en-US"/>
        </w:rPr>
      </w:pPr>
      <m:oMath>
        <m:bar>
          <m:barPr>
            <m:pos m:val="top"/>
            <m:ctrlPr>
              <w:rPr>
                <w:rFonts w:ascii="Cambria Math" w:hAnsi="Cambria Math"/>
                <w:i/>
                <w:color w:val="000000"/>
                <w:sz w:val="32"/>
                <w:szCs w:val="24"/>
                <w:lang w:val="en-US"/>
              </w:rPr>
            </m:ctrlPr>
          </m:barPr>
          <m:e>
            <m:sSub>
              <m:sSubPr>
                <m:ctrlPr>
                  <w:rPr>
                    <w:rFonts w:ascii="Cambria Math" w:hAnsi="Cambria Math"/>
                    <w:i/>
                    <w:color w:val="000000"/>
                    <w:sz w:val="32"/>
                    <w:szCs w:val="24"/>
                  </w:rPr>
                </m:ctrlPr>
              </m:sSubPr>
              <m:e>
                <m:r>
                  <w:rPr>
                    <w:rFonts w:ascii="Cambria Math" w:hAnsi="Cambria Math"/>
                    <w:color w:val="000000"/>
                    <w:sz w:val="32"/>
                    <w:szCs w:val="24"/>
                    <w:lang w:val="en-US"/>
                  </w:rPr>
                  <m:t>r</m:t>
                </m:r>
              </m:e>
              <m:sub>
                <m:r>
                  <w:rPr>
                    <w:rFonts w:ascii="Cambria Math" w:hAnsi="Cambria Math"/>
                    <w:color w:val="000000"/>
                    <w:sz w:val="32"/>
                    <w:szCs w:val="24"/>
                  </w:rPr>
                  <m:t>рын</m:t>
                </m:r>
              </m:sub>
            </m:sSub>
          </m:e>
        </m:bar>
      </m:oMath>
      <w:r w:rsidR="008C0A68" w:rsidRPr="00B14325">
        <w:rPr>
          <w:color w:val="000000"/>
          <w:sz w:val="32"/>
          <w:szCs w:val="24"/>
        </w:rPr>
        <w:t xml:space="preserve"> </w:t>
      </w:r>
      <w:r w:rsidR="008C0A68" w:rsidRPr="00B14325">
        <w:rPr>
          <w:color w:val="000000"/>
          <w:sz w:val="32"/>
          <w:szCs w:val="24"/>
        </w:rPr>
        <w:tab/>
      </w:r>
      <w:r w:rsidR="008C0A68" w:rsidRPr="00B14325">
        <w:rPr>
          <w:sz w:val="22"/>
          <w:lang w:eastAsia="en-US"/>
        </w:rPr>
        <w:t>–</w:t>
      </w:r>
      <w:r w:rsidR="008C0A68" w:rsidRPr="00B14325">
        <w:rPr>
          <w:sz w:val="22"/>
          <w:lang w:eastAsia="en-US"/>
        </w:rPr>
        <w:tab/>
      </w:r>
      <w:r w:rsidR="008C0A68" w:rsidRPr="00B14325">
        <w:rPr>
          <w:szCs w:val="22"/>
          <w:lang w:eastAsia="en-US"/>
        </w:rPr>
        <w:t xml:space="preserve"> </w:t>
      </w:r>
      <w:r w:rsidR="008C0A68" w:rsidRPr="00B14325">
        <w:rPr>
          <w:sz w:val="22"/>
          <w:lang w:eastAsia="en-US"/>
        </w:rPr>
        <w:t>среднее значение рыночной ставки из генеральной совокупности рыночных ставок за 3 месяца</w:t>
      </w:r>
      <w:r w:rsidR="008C0A68" w:rsidRPr="00B14325">
        <w:rPr>
          <w:sz w:val="22"/>
          <w:szCs w:val="22"/>
          <w:lang w:eastAsia="en-US"/>
        </w:rPr>
        <w:t>.</w:t>
      </w:r>
    </w:p>
    <w:p w14:paraId="7E1143D6" w14:textId="77777777" w:rsidR="008C0A68" w:rsidRPr="00B14325" w:rsidRDefault="008C0A68" w:rsidP="008C0A68">
      <w:pPr>
        <w:spacing w:before="120"/>
        <w:jc w:val="both"/>
        <w:rPr>
          <w:rFonts w:eastAsia="Calibri"/>
          <w:sz w:val="22"/>
          <w:szCs w:val="22"/>
          <w:lang w:eastAsia="en-US"/>
        </w:rPr>
      </w:pPr>
      <w:r w:rsidRPr="00B14325">
        <w:rPr>
          <w:rFonts w:eastAsia="Calibri"/>
          <w:sz w:val="22"/>
          <w:szCs w:val="22"/>
          <w:lang w:eastAsia="en-US"/>
        </w:rPr>
        <w:t xml:space="preserve">Значение </w:t>
      </w:r>
      <m:oMath>
        <m:r>
          <m:rPr>
            <m:sty m:val="p"/>
          </m:rPr>
          <w:rPr>
            <w:rFonts w:ascii="Cambria Math" w:eastAsia="Calibri" w:hAnsi="Cambria Math"/>
            <w:sz w:val="28"/>
            <w:szCs w:val="22"/>
            <w:lang w:eastAsia="en-US"/>
          </w:rPr>
          <m:t>σ</m:t>
        </m:r>
      </m:oMath>
      <w:r w:rsidRPr="00B14325">
        <w:rPr>
          <w:rFonts w:eastAsia="Calibri"/>
          <w:sz w:val="22"/>
          <w:szCs w:val="22"/>
          <w:lang w:eastAsia="en-US"/>
        </w:rPr>
        <w:t xml:space="preserve"> рассчитывается без промежуточных округлений и соответствует значению в процентах, округленному до 2 знаков после запятой.</w:t>
      </w:r>
    </w:p>
    <w:p w14:paraId="7764675E" w14:textId="77777777" w:rsidR="008C0A68" w:rsidRPr="00B14325" w:rsidRDefault="008C0A68" w:rsidP="008C0A68">
      <w:pPr>
        <w:spacing w:before="120" w:after="120"/>
        <w:jc w:val="both"/>
        <w:rPr>
          <w:rFonts w:eastAsia="Calibri"/>
          <w:sz w:val="22"/>
          <w:szCs w:val="22"/>
          <w:lang w:eastAsia="en-US"/>
        </w:rPr>
      </w:pPr>
      <w:r w:rsidRPr="00B14325">
        <w:rPr>
          <w:rFonts w:eastAsia="Calibri"/>
          <w:sz w:val="22"/>
          <w:szCs w:val="22"/>
          <w:lang w:eastAsia="en-US"/>
        </w:rPr>
        <w:t>Ставка по договору (</w:t>
      </w:r>
      <m:oMath>
        <m:sSub>
          <m:sSubPr>
            <m:ctrlPr>
              <w:rPr>
                <w:rFonts w:ascii="Cambria Math" w:eastAsia="Calibri" w:hAnsi="Cambria Math"/>
                <w:sz w:val="22"/>
                <w:szCs w:val="22"/>
                <w:lang w:eastAsia="en-US"/>
              </w:rPr>
            </m:ctrlPr>
          </m:sSubPr>
          <m:e>
            <m:r>
              <m:rPr>
                <m:sty m:val="p"/>
              </m:rPr>
              <w:rPr>
                <w:rFonts w:ascii="Cambria Math" w:eastAsia="Calibri" w:hAnsi="Cambria Math"/>
                <w:sz w:val="22"/>
                <w:szCs w:val="22"/>
                <w:lang w:eastAsia="en-US"/>
              </w:rPr>
              <m:t>r</m:t>
            </m:r>
          </m:e>
          <m:sub>
            <m:r>
              <m:rPr>
                <m:sty m:val="p"/>
              </m:rPr>
              <w:rPr>
                <w:rFonts w:ascii="Cambria Math" w:eastAsia="Calibri" w:hAnsi="Cambria Math"/>
                <w:sz w:val="22"/>
                <w:szCs w:val="22"/>
                <w:lang w:eastAsia="en-US"/>
              </w:rPr>
              <m:t>дог</m:t>
            </m:r>
          </m:sub>
        </m:sSub>
        <m:r>
          <m:rPr>
            <m:sty m:val="p"/>
          </m:rPr>
          <w:rPr>
            <w:rFonts w:ascii="Cambria Math" w:eastAsia="Calibri" w:hAnsi="Cambria Math"/>
            <w:sz w:val="22"/>
            <w:szCs w:val="22"/>
            <w:lang w:eastAsia="en-US"/>
          </w:rPr>
          <m:t>)</m:t>
        </m:r>
      </m:oMath>
      <w:r w:rsidRPr="00B14325">
        <w:rPr>
          <w:rFonts w:eastAsia="Calibri"/>
          <w:sz w:val="22"/>
          <w:szCs w:val="22"/>
          <w:lang w:eastAsia="en-US"/>
        </w:rPr>
        <w:t xml:space="preserve"> применяется в качестве ставки дисконтирования, если соблюдается условие:</w:t>
      </w:r>
    </w:p>
    <w:p w14:paraId="61DE8073" w14:textId="77777777" w:rsidR="008C0A68" w:rsidRPr="00B14325" w:rsidRDefault="008C0A68" w:rsidP="008C0A68">
      <w:pPr>
        <w:tabs>
          <w:tab w:val="left" w:pos="567"/>
        </w:tabs>
        <w:jc w:val="center"/>
        <w:rPr>
          <w:rFonts w:eastAsia="Calibri"/>
          <w:color w:val="000000"/>
          <w:szCs w:val="24"/>
        </w:rPr>
      </w:pPr>
      <m:oMath>
        <m:r>
          <w:rPr>
            <w:rFonts w:ascii="Cambria Math" w:hAnsi="Cambria Math"/>
            <w:color w:val="000000"/>
            <w:szCs w:val="24"/>
          </w:rPr>
          <m:t>(</m:t>
        </m:r>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color w:val="000000"/>
                <w:szCs w:val="24"/>
              </w:rPr>
              <m:t>рын.мин</m:t>
            </m:r>
          </m:sub>
        </m:sSub>
        <m:r>
          <w:rPr>
            <w:rFonts w:ascii="Cambria Math" w:eastAsia="Calibri" w:hAnsi="Cambria Math"/>
            <w:sz w:val="22"/>
            <w:szCs w:val="22"/>
            <w:lang w:eastAsia="en-US"/>
          </w:rPr>
          <m:t>-</m:t>
        </m:r>
        <m:r>
          <m:rPr>
            <m:sty m:val="p"/>
          </m:rPr>
          <w:rPr>
            <w:rFonts w:ascii="Cambria Math" w:hAnsi="Cambria Math"/>
            <w:color w:val="000000"/>
            <w:szCs w:val="24"/>
          </w:rPr>
          <m:t>σ)</m:t>
        </m:r>
        <m:r>
          <w:rPr>
            <w:rFonts w:ascii="Cambria Math" w:eastAsia="Calibri" w:hAnsi="Cambria Math"/>
            <w:sz w:val="22"/>
            <w:szCs w:val="22"/>
            <w:lang w:eastAsia="en-US"/>
          </w:rPr>
          <m:t>≤</m:t>
        </m:r>
        <m:sSub>
          <m:sSubPr>
            <m:ctrlPr>
              <w:rPr>
                <w:rFonts w:ascii="Cambria Math" w:eastAsia="Calibri" w:hAnsi="Cambria Math"/>
                <w:sz w:val="22"/>
                <w:szCs w:val="22"/>
                <w:lang w:eastAsia="en-US"/>
              </w:rPr>
            </m:ctrlPr>
          </m:sSubPr>
          <m:e>
            <m:r>
              <w:rPr>
                <w:rFonts w:ascii="Cambria Math" w:eastAsia="Calibri" w:hAnsi="Cambria Math"/>
                <w:sz w:val="22"/>
                <w:szCs w:val="22"/>
                <w:lang w:eastAsia="en-US"/>
              </w:rPr>
              <m:t>r</m:t>
            </m:r>
          </m:e>
          <m:sub>
            <m:r>
              <m:rPr>
                <m:sty m:val="p"/>
              </m:rPr>
              <w:rPr>
                <w:rFonts w:ascii="Cambria Math" w:eastAsia="Calibri" w:hAnsi="Cambria Math"/>
                <w:sz w:val="22"/>
                <w:szCs w:val="22"/>
                <w:lang w:eastAsia="en-US"/>
              </w:rPr>
              <m:t>дог</m:t>
            </m:r>
          </m:sub>
        </m:sSub>
        <m:r>
          <w:rPr>
            <w:rFonts w:ascii="Cambria Math" w:eastAsia="Calibri" w:hAnsi="Cambria Math"/>
            <w:sz w:val="22"/>
            <w:szCs w:val="22"/>
            <w:lang w:eastAsia="en-US"/>
          </w:rPr>
          <m:t>≤</m:t>
        </m:r>
      </m:oMath>
      <w:r w:rsidRPr="00B14325">
        <w:rPr>
          <w:rFonts w:eastAsia="Calibri"/>
          <w:sz w:val="22"/>
          <w:szCs w:val="22"/>
          <w:lang w:eastAsia="en-US"/>
        </w:rPr>
        <w:t xml:space="preserve"> </w:t>
      </w:r>
      <m:oMath>
        <m:r>
          <w:rPr>
            <w:rFonts w:ascii="Cambria Math" w:hAnsi="Cambria Math"/>
            <w:color w:val="000000"/>
            <w:szCs w:val="24"/>
          </w:rPr>
          <m:t>(</m:t>
        </m:r>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color w:val="000000"/>
                <w:szCs w:val="24"/>
              </w:rPr>
              <m:t>рын.макс</m:t>
            </m:r>
          </m:sub>
        </m:sSub>
        <m:r>
          <m:rPr>
            <m:sty m:val="p"/>
          </m:rPr>
          <w:rPr>
            <w:rFonts w:ascii="Cambria Math" w:hAnsi="Cambria Math"/>
            <w:color w:val="000000"/>
            <w:szCs w:val="24"/>
          </w:rPr>
          <m:t>+σ)</m:t>
        </m:r>
      </m:oMath>
    </w:p>
    <w:p w14:paraId="2FF2ACFF" w14:textId="77777777" w:rsidR="008C0A68" w:rsidRPr="00B14325" w:rsidRDefault="008C0A68" w:rsidP="008C0A68">
      <w:pPr>
        <w:tabs>
          <w:tab w:val="left" w:pos="426"/>
        </w:tabs>
        <w:contextualSpacing/>
        <w:jc w:val="both"/>
        <w:rPr>
          <w:rFonts w:eastAsia="Batang"/>
          <w:sz w:val="20"/>
        </w:rPr>
      </w:pPr>
    </w:p>
    <w:p w14:paraId="0BE377B9" w14:textId="0CDD9546" w:rsidR="008C0A68" w:rsidRPr="001C2B7D" w:rsidRDefault="008C0A68" w:rsidP="008C0A68">
      <w:pPr>
        <w:tabs>
          <w:tab w:val="left" w:pos="993"/>
        </w:tabs>
        <w:spacing w:before="120"/>
        <w:ind w:firstLine="567"/>
        <w:jc w:val="both"/>
        <w:rPr>
          <w:rFonts w:eastAsia="Batang"/>
          <w:color w:val="000000"/>
          <w:szCs w:val="24"/>
        </w:rPr>
      </w:pPr>
      <w:r w:rsidRPr="001C2B7D">
        <w:rPr>
          <w:rFonts w:eastAsia="Batang"/>
          <w:color w:val="000000"/>
          <w:szCs w:val="24"/>
        </w:rPr>
        <w:t>В качестве рыночных ставок для депозитов применяются значения средневзвешенных процентных ставок по привлеченным кредитными организациями вкладам (депозитам) нефинансовых организаций в рублях и иностранной валюте,  раскрываемые на официальном сайте Банка России</w:t>
      </w:r>
      <w:r w:rsidRPr="001C2B7D">
        <w:rPr>
          <w:rFonts w:eastAsia="Batang"/>
          <w:color w:val="000000"/>
          <w:szCs w:val="24"/>
        </w:rPr>
        <w:footnoteReference w:id="10"/>
      </w:r>
      <w:r w:rsidRPr="001C2B7D">
        <w:rPr>
          <w:rFonts w:eastAsia="Batang"/>
          <w:color w:val="000000"/>
          <w:szCs w:val="24"/>
        </w:rPr>
        <w:t xml:space="preserve">. </w:t>
      </w:r>
    </w:p>
    <w:p w14:paraId="3074B9D1" w14:textId="3F7D858A" w:rsidR="008C0A68" w:rsidRPr="001C2B7D" w:rsidRDefault="008C0A68" w:rsidP="008C0A68">
      <w:pPr>
        <w:tabs>
          <w:tab w:val="left" w:pos="993"/>
        </w:tabs>
        <w:spacing w:before="120"/>
        <w:ind w:firstLine="567"/>
        <w:jc w:val="both"/>
        <w:rPr>
          <w:rFonts w:eastAsia="Batang"/>
          <w:color w:val="000000"/>
          <w:szCs w:val="24"/>
        </w:rPr>
      </w:pPr>
    </w:p>
    <w:p w14:paraId="090956F4" w14:textId="77777777" w:rsidR="008C0A68" w:rsidRPr="001C2B7D" w:rsidRDefault="008C0A68" w:rsidP="008C0A68">
      <w:pPr>
        <w:tabs>
          <w:tab w:val="left" w:pos="993"/>
        </w:tabs>
        <w:spacing w:before="120"/>
        <w:ind w:firstLine="567"/>
        <w:jc w:val="both"/>
        <w:rPr>
          <w:rFonts w:eastAsia="Batang"/>
          <w:color w:val="000000"/>
          <w:szCs w:val="24"/>
        </w:rPr>
      </w:pPr>
      <w:r w:rsidRPr="001C2B7D">
        <w:rPr>
          <w:rFonts w:eastAsia="Batang"/>
          <w:color w:val="000000"/>
          <w:szCs w:val="24"/>
        </w:rPr>
        <w:t xml:space="preserve">  </w:t>
      </w:r>
    </w:p>
    <w:p w14:paraId="465981D1" w14:textId="77777777" w:rsidR="008C0A68" w:rsidRPr="001C2B7D" w:rsidRDefault="008C0A68" w:rsidP="008C0A68">
      <w:pPr>
        <w:tabs>
          <w:tab w:val="left" w:pos="993"/>
        </w:tabs>
        <w:spacing w:before="120"/>
        <w:ind w:firstLine="567"/>
        <w:jc w:val="both"/>
        <w:rPr>
          <w:rFonts w:eastAsia="Batang"/>
          <w:color w:val="000000"/>
          <w:szCs w:val="24"/>
        </w:rPr>
      </w:pPr>
      <w:r w:rsidRPr="001C2B7D">
        <w:rPr>
          <w:rFonts w:eastAsia="Batang"/>
          <w:color w:val="000000"/>
          <w:szCs w:val="24"/>
        </w:rPr>
        <w:t>Средневзвешенные ставки определяются с использованием шкалы (развернутой), включающей позиции:</w:t>
      </w:r>
    </w:p>
    <w:p w14:paraId="72D60B16" w14:textId="77777777" w:rsidR="008C0A68" w:rsidRPr="001C2B7D" w:rsidRDefault="008C0A68" w:rsidP="004872F3">
      <w:pPr>
        <w:numPr>
          <w:ilvl w:val="0"/>
          <w:numId w:val="17"/>
        </w:numPr>
        <w:tabs>
          <w:tab w:val="left" w:pos="993"/>
        </w:tabs>
        <w:spacing w:before="120" w:after="200"/>
        <w:ind w:left="1418"/>
        <w:contextualSpacing/>
        <w:jc w:val="both"/>
        <w:rPr>
          <w:rFonts w:eastAsia="Batang"/>
          <w:szCs w:val="24"/>
        </w:rPr>
      </w:pPr>
      <w:r w:rsidRPr="001C2B7D">
        <w:rPr>
          <w:rFonts w:eastAsia="Batang"/>
          <w:szCs w:val="24"/>
        </w:rPr>
        <w:t>до 30 дней, кроме до востребования</w:t>
      </w:r>
    </w:p>
    <w:p w14:paraId="187434DE" w14:textId="77777777" w:rsidR="008C0A68" w:rsidRPr="001C2B7D" w:rsidRDefault="008C0A68" w:rsidP="004872F3">
      <w:pPr>
        <w:numPr>
          <w:ilvl w:val="0"/>
          <w:numId w:val="17"/>
        </w:numPr>
        <w:tabs>
          <w:tab w:val="left" w:pos="993"/>
        </w:tabs>
        <w:spacing w:before="120" w:after="200"/>
        <w:ind w:left="1418"/>
        <w:contextualSpacing/>
        <w:jc w:val="both"/>
        <w:rPr>
          <w:rFonts w:eastAsia="Batang"/>
          <w:szCs w:val="24"/>
        </w:rPr>
      </w:pPr>
      <w:r w:rsidRPr="001C2B7D">
        <w:rPr>
          <w:rFonts w:eastAsia="Batang"/>
          <w:szCs w:val="24"/>
        </w:rPr>
        <w:t>от 31 до 90 календарных дней;</w:t>
      </w:r>
    </w:p>
    <w:p w14:paraId="3D1CF573" w14:textId="77777777" w:rsidR="008C0A68" w:rsidRPr="001C2B7D" w:rsidRDefault="008C0A68" w:rsidP="004872F3">
      <w:pPr>
        <w:numPr>
          <w:ilvl w:val="0"/>
          <w:numId w:val="17"/>
        </w:numPr>
        <w:tabs>
          <w:tab w:val="left" w:pos="993"/>
        </w:tabs>
        <w:spacing w:before="120" w:after="200"/>
        <w:ind w:left="1418"/>
        <w:contextualSpacing/>
        <w:jc w:val="both"/>
        <w:rPr>
          <w:rFonts w:eastAsia="Batang"/>
          <w:szCs w:val="24"/>
        </w:rPr>
      </w:pPr>
      <w:r w:rsidRPr="001C2B7D">
        <w:rPr>
          <w:rFonts w:eastAsia="Batang"/>
          <w:szCs w:val="24"/>
        </w:rPr>
        <w:t>от 91 до 180 календарных дней;</w:t>
      </w:r>
    </w:p>
    <w:p w14:paraId="1B011D96" w14:textId="77777777" w:rsidR="008C0A68" w:rsidRPr="001C2B7D" w:rsidRDefault="008C0A68" w:rsidP="004872F3">
      <w:pPr>
        <w:numPr>
          <w:ilvl w:val="0"/>
          <w:numId w:val="17"/>
        </w:numPr>
        <w:tabs>
          <w:tab w:val="left" w:pos="993"/>
        </w:tabs>
        <w:spacing w:before="120" w:after="200"/>
        <w:ind w:left="1418"/>
        <w:contextualSpacing/>
        <w:jc w:val="both"/>
        <w:rPr>
          <w:rFonts w:eastAsia="Batang"/>
          <w:szCs w:val="24"/>
        </w:rPr>
      </w:pPr>
      <w:r w:rsidRPr="001C2B7D">
        <w:rPr>
          <w:rFonts w:eastAsia="Batang"/>
          <w:szCs w:val="24"/>
        </w:rPr>
        <w:t>от 181 календарных дней до 1 года;</w:t>
      </w:r>
    </w:p>
    <w:p w14:paraId="14D8D10C" w14:textId="77777777" w:rsidR="008C0A68" w:rsidRPr="001C2B7D" w:rsidRDefault="008C0A68" w:rsidP="004872F3">
      <w:pPr>
        <w:numPr>
          <w:ilvl w:val="0"/>
          <w:numId w:val="17"/>
        </w:numPr>
        <w:tabs>
          <w:tab w:val="left" w:pos="993"/>
        </w:tabs>
        <w:spacing w:before="120" w:after="200"/>
        <w:ind w:left="1418"/>
        <w:contextualSpacing/>
        <w:jc w:val="both"/>
        <w:rPr>
          <w:rFonts w:eastAsia="Batang"/>
          <w:szCs w:val="24"/>
        </w:rPr>
      </w:pPr>
      <w:r w:rsidRPr="001C2B7D">
        <w:rPr>
          <w:rFonts w:eastAsia="Batang"/>
          <w:szCs w:val="24"/>
        </w:rPr>
        <w:t>от 1 года до 3 лет;</w:t>
      </w:r>
    </w:p>
    <w:p w14:paraId="5CD86CC2" w14:textId="77777777" w:rsidR="008C0A68" w:rsidRPr="001C2B7D" w:rsidRDefault="008C0A68" w:rsidP="004872F3">
      <w:pPr>
        <w:numPr>
          <w:ilvl w:val="0"/>
          <w:numId w:val="17"/>
        </w:numPr>
        <w:tabs>
          <w:tab w:val="left" w:pos="993"/>
        </w:tabs>
        <w:spacing w:before="120" w:after="200"/>
        <w:ind w:left="1418"/>
        <w:contextualSpacing/>
        <w:jc w:val="both"/>
        <w:rPr>
          <w:rFonts w:eastAsia="Batang"/>
          <w:szCs w:val="24"/>
        </w:rPr>
      </w:pPr>
      <w:r w:rsidRPr="001C2B7D">
        <w:rPr>
          <w:rFonts w:eastAsia="Batang"/>
          <w:szCs w:val="24"/>
        </w:rPr>
        <w:t>свыше 3 лет</w:t>
      </w:r>
      <w:r>
        <w:rPr>
          <w:rFonts w:eastAsia="Batang"/>
          <w:szCs w:val="24"/>
        </w:rPr>
        <w:t>.</w:t>
      </w:r>
    </w:p>
    <w:p w14:paraId="75D13F8A" w14:textId="77777777" w:rsidR="008C0A68" w:rsidRPr="008F3278" w:rsidRDefault="008C0A68" w:rsidP="008C0A68">
      <w:pPr>
        <w:tabs>
          <w:tab w:val="left" w:pos="993"/>
        </w:tabs>
        <w:spacing w:before="120"/>
        <w:ind w:left="1418"/>
        <w:contextualSpacing/>
        <w:jc w:val="both"/>
        <w:rPr>
          <w:rFonts w:eastAsia="Batang"/>
          <w:sz w:val="20"/>
        </w:rPr>
      </w:pPr>
    </w:p>
    <w:p w14:paraId="777F9501" w14:textId="77777777" w:rsidR="008C0A68" w:rsidRPr="001C2B7D" w:rsidRDefault="008C0A68" w:rsidP="008C0A68">
      <w:pPr>
        <w:tabs>
          <w:tab w:val="left" w:pos="993"/>
        </w:tabs>
        <w:spacing w:before="120"/>
        <w:ind w:firstLine="567"/>
        <w:jc w:val="both"/>
        <w:rPr>
          <w:rFonts w:eastAsia="Batang"/>
          <w:color w:val="000000"/>
          <w:szCs w:val="24"/>
        </w:rPr>
      </w:pPr>
      <w:r w:rsidRPr="001C2B7D">
        <w:rPr>
          <w:rFonts w:eastAsia="Batang"/>
          <w:color w:val="000000"/>
          <w:szCs w:val="24"/>
        </w:rPr>
        <w:t>Рыночной ставкой в отношении депозита является значение средневзвешенной процентной ставки за месяц, наиболее близкий к дате определения справедливой стоимости, в валюте, соответствующей валюте депозита, на срок, сопоставимый с ожидаемым сроком размещения, рассчитанным от даты определения справедливой стоимости.</w:t>
      </w:r>
    </w:p>
    <w:p w14:paraId="74843B93" w14:textId="77777777" w:rsidR="008C0A68" w:rsidRPr="001C2B7D" w:rsidRDefault="008C0A68" w:rsidP="008C0A68">
      <w:pPr>
        <w:tabs>
          <w:tab w:val="left" w:pos="993"/>
        </w:tabs>
        <w:spacing w:before="120"/>
        <w:ind w:firstLine="567"/>
        <w:jc w:val="both"/>
        <w:rPr>
          <w:rFonts w:eastAsia="Batang"/>
          <w:color w:val="000000"/>
          <w:szCs w:val="24"/>
        </w:rPr>
      </w:pPr>
    </w:p>
    <w:p w14:paraId="0FEE6C1E" w14:textId="77777777" w:rsidR="008C0A68" w:rsidRPr="001C2B7D" w:rsidRDefault="008C0A68" w:rsidP="008C0A68">
      <w:pPr>
        <w:tabs>
          <w:tab w:val="left" w:pos="993"/>
        </w:tabs>
        <w:spacing w:before="120"/>
        <w:ind w:firstLine="567"/>
        <w:jc w:val="both"/>
        <w:rPr>
          <w:rFonts w:eastAsia="Batang"/>
          <w:color w:val="000000"/>
          <w:szCs w:val="24"/>
        </w:rPr>
      </w:pPr>
      <w:r w:rsidRPr="001C2B7D">
        <w:rPr>
          <w:rFonts w:eastAsia="Batang"/>
          <w:color w:val="000000"/>
          <w:szCs w:val="24"/>
        </w:rPr>
        <w:lastRenderedPageBreak/>
        <w:t>В случае если между последним днём месяца, по которому опубликованы последние по времени данные о средневзвешенных ставках, и датой определения рыночной ставки произошло изменение ключевой ставки Банка России, то для определения рыночной ставки последняя раскрытая средневзвешенная ставка изменяется пропорционально изменению Ключевой ставки Банка России с последнего числа месяца, за который рассчитана средневзвешенная ставка, до даты определения рыночной ставки. Рассчитанная таким образом рыночная ставка округляется до двух знаков после запятой. Промежуточные округления не производятся.</w:t>
      </w:r>
    </w:p>
    <w:p w14:paraId="48B67C29" w14:textId="77777777" w:rsidR="008C0A68" w:rsidRDefault="008C0A68" w:rsidP="008C0A68">
      <w:pPr>
        <w:tabs>
          <w:tab w:val="left" w:pos="993"/>
        </w:tabs>
        <w:jc w:val="both"/>
        <w:rPr>
          <w:rFonts w:eastAsia="Batang"/>
          <w:sz w:val="22"/>
        </w:rPr>
      </w:pPr>
    </w:p>
    <w:p w14:paraId="1BC612C1" w14:textId="77777777" w:rsidR="008C0A68" w:rsidRDefault="008C0A68" w:rsidP="008C0A68">
      <w:pPr>
        <w:tabs>
          <w:tab w:val="left" w:pos="993"/>
        </w:tabs>
        <w:jc w:val="both"/>
        <w:rPr>
          <w:rFonts w:eastAsia="Batang"/>
          <w:sz w:val="22"/>
        </w:rPr>
      </w:pPr>
    </w:p>
    <w:p w14:paraId="18CA3222" w14:textId="77777777" w:rsidR="008C0A68" w:rsidRPr="004500B6" w:rsidRDefault="008C0A68" w:rsidP="008C0A68">
      <w:pPr>
        <w:pStyle w:val="affd"/>
        <w:jc w:val="center"/>
      </w:pPr>
      <w:r w:rsidRPr="00E94324">
        <w:rPr>
          <w:bCs/>
          <w:sz w:val="23"/>
          <w:szCs w:val="23"/>
        </w:rPr>
        <w:t>Соответствие шкал рейтингов различных рейтинговых агентств</w:t>
      </w:r>
    </w:p>
    <w:p w14:paraId="1FF208C9" w14:textId="77777777" w:rsidR="008C0A68" w:rsidRDefault="008C0A68" w:rsidP="008C0A68">
      <w:pPr>
        <w:tabs>
          <w:tab w:val="left" w:pos="993"/>
        </w:tabs>
        <w:jc w:val="both"/>
        <w:rPr>
          <w:rFonts w:eastAsia="Batang"/>
          <w:sz w:val="22"/>
        </w:rPr>
      </w:pPr>
    </w:p>
    <w:tbl>
      <w:tblPr>
        <w:tblW w:w="10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126"/>
        <w:gridCol w:w="1701"/>
        <w:gridCol w:w="1559"/>
        <w:gridCol w:w="1276"/>
        <w:gridCol w:w="1134"/>
        <w:gridCol w:w="1130"/>
      </w:tblGrid>
      <w:tr w:rsidR="008C0A68" w:rsidRPr="00E327C5" w14:paraId="6324599A" w14:textId="77777777" w:rsidTr="00E41AB9">
        <w:trPr>
          <w:trHeight w:val="249"/>
        </w:trPr>
        <w:tc>
          <w:tcPr>
            <w:tcW w:w="1526" w:type="dxa"/>
          </w:tcPr>
          <w:p w14:paraId="2347D6F8"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b/>
                <w:bCs/>
                <w:color w:val="000000"/>
                <w:sz w:val="23"/>
                <w:szCs w:val="23"/>
              </w:rPr>
              <w:t xml:space="preserve">АКРА (АО) </w:t>
            </w:r>
          </w:p>
        </w:tc>
        <w:tc>
          <w:tcPr>
            <w:tcW w:w="2126" w:type="dxa"/>
          </w:tcPr>
          <w:p w14:paraId="160EBAAB"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b/>
                <w:bCs/>
                <w:color w:val="000000"/>
                <w:sz w:val="23"/>
                <w:szCs w:val="23"/>
              </w:rPr>
              <w:t xml:space="preserve">АО «Эксперт РА» </w:t>
            </w:r>
          </w:p>
        </w:tc>
        <w:tc>
          <w:tcPr>
            <w:tcW w:w="1701" w:type="dxa"/>
          </w:tcPr>
          <w:p w14:paraId="4E1BEC0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b/>
                <w:bCs/>
                <w:color w:val="000000"/>
                <w:sz w:val="23"/>
                <w:szCs w:val="23"/>
              </w:rPr>
              <w:t xml:space="preserve">ООО «НКР» </w:t>
            </w:r>
          </w:p>
        </w:tc>
        <w:tc>
          <w:tcPr>
            <w:tcW w:w="1559" w:type="dxa"/>
          </w:tcPr>
          <w:p w14:paraId="203B2522"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b/>
                <w:bCs/>
                <w:color w:val="000000"/>
                <w:sz w:val="23"/>
                <w:szCs w:val="23"/>
              </w:rPr>
              <w:t xml:space="preserve">ООО «НРА» </w:t>
            </w:r>
          </w:p>
        </w:tc>
        <w:tc>
          <w:tcPr>
            <w:tcW w:w="1276" w:type="dxa"/>
          </w:tcPr>
          <w:p w14:paraId="180C599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b/>
                <w:bCs/>
                <w:color w:val="000000"/>
                <w:sz w:val="23"/>
                <w:szCs w:val="23"/>
              </w:rPr>
              <w:t xml:space="preserve">Moody`s </w:t>
            </w:r>
          </w:p>
        </w:tc>
        <w:tc>
          <w:tcPr>
            <w:tcW w:w="1134" w:type="dxa"/>
          </w:tcPr>
          <w:p w14:paraId="2CD6310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b/>
                <w:bCs/>
                <w:color w:val="000000"/>
                <w:sz w:val="23"/>
                <w:szCs w:val="23"/>
              </w:rPr>
              <w:t xml:space="preserve">S&amp;P </w:t>
            </w:r>
          </w:p>
        </w:tc>
        <w:tc>
          <w:tcPr>
            <w:tcW w:w="1130" w:type="dxa"/>
          </w:tcPr>
          <w:p w14:paraId="3023A958"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b/>
                <w:bCs/>
                <w:color w:val="000000"/>
                <w:sz w:val="23"/>
                <w:szCs w:val="23"/>
              </w:rPr>
              <w:t xml:space="preserve">Fitch </w:t>
            </w:r>
          </w:p>
        </w:tc>
      </w:tr>
      <w:tr w:rsidR="008C0A68" w:rsidRPr="00E327C5" w14:paraId="1FB57443" w14:textId="77777777" w:rsidTr="00E41AB9">
        <w:trPr>
          <w:trHeight w:val="90"/>
        </w:trPr>
        <w:tc>
          <w:tcPr>
            <w:tcW w:w="6912" w:type="dxa"/>
            <w:gridSpan w:val="4"/>
          </w:tcPr>
          <w:p w14:paraId="048E5179" w14:textId="77777777" w:rsidR="008C0A68" w:rsidRPr="00E327C5" w:rsidRDefault="008C0A68" w:rsidP="00E41AB9">
            <w:pPr>
              <w:autoSpaceDE w:val="0"/>
              <w:autoSpaceDN w:val="0"/>
              <w:adjustRightInd w:val="0"/>
              <w:jc w:val="center"/>
              <w:rPr>
                <w:rFonts w:eastAsia="Calibri"/>
                <w:color w:val="000000"/>
                <w:sz w:val="20"/>
              </w:rPr>
            </w:pPr>
            <w:r w:rsidRPr="00E327C5">
              <w:rPr>
                <w:rFonts w:eastAsia="Calibri"/>
                <w:color w:val="000000"/>
                <w:sz w:val="20"/>
              </w:rPr>
              <w:t>Национальная шкала для Российской Федерации</w:t>
            </w:r>
          </w:p>
        </w:tc>
        <w:tc>
          <w:tcPr>
            <w:tcW w:w="3540" w:type="dxa"/>
            <w:gridSpan w:val="3"/>
          </w:tcPr>
          <w:p w14:paraId="62D85157" w14:textId="77777777" w:rsidR="008C0A68" w:rsidRPr="00E327C5" w:rsidRDefault="008C0A68" w:rsidP="00E41AB9">
            <w:pPr>
              <w:autoSpaceDE w:val="0"/>
              <w:autoSpaceDN w:val="0"/>
              <w:adjustRightInd w:val="0"/>
              <w:jc w:val="center"/>
              <w:rPr>
                <w:rFonts w:eastAsia="Calibri"/>
                <w:color w:val="000000"/>
                <w:sz w:val="20"/>
              </w:rPr>
            </w:pPr>
            <w:r w:rsidRPr="00E327C5">
              <w:rPr>
                <w:rFonts w:eastAsia="Calibri"/>
                <w:color w:val="000000"/>
                <w:sz w:val="20"/>
              </w:rPr>
              <w:t>Международная шкала</w:t>
            </w:r>
          </w:p>
        </w:tc>
      </w:tr>
      <w:tr w:rsidR="008C0A68" w:rsidRPr="00E327C5" w14:paraId="1E099F7C" w14:textId="77777777" w:rsidTr="00E41AB9">
        <w:trPr>
          <w:trHeight w:val="109"/>
        </w:trPr>
        <w:tc>
          <w:tcPr>
            <w:tcW w:w="1526" w:type="dxa"/>
          </w:tcPr>
          <w:p w14:paraId="0F39F945"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AAA (RU) </w:t>
            </w:r>
          </w:p>
        </w:tc>
        <w:tc>
          <w:tcPr>
            <w:tcW w:w="2126" w:type="dxa"/>
          </w:tcPr>
          <w:p w14:paraId="3E1C981E"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ruAAA </w:t>
            </w:r>
          </w:p>
        </w:tc>
        <w:tc>
          <w:tcPr>
            <w:tcW w:w="1701" w:type="dxa"/>
          </w:tcPr>
          <w:p w14:paraId="6A049EBF"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AAA.ru </w:t>
            </w:r>
          </w:p>
        </w:tc>
        <w:tc>
          <w:tcPr>
            <w:tcW w:w="1559" w:type="dxa"/>
          </w:tcPr>
          <w:p w14:paraId="4E4AFC26"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AAA|ru| </w:t>
            </w:r>
          </w:p>
        </w:tc>
        <w:tc>
          <w:tcPr>
            <w:tcW w:w="1276" w:type="dxa"/>
          </w:tcPr>
          <w:p w14:paraId="2DB813D3"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Ваа3 </w:t>
            </w:r>
          </w:p>
        </w:tc>
        <w:tc>
          <w:tcPr>
            <w:tcW w:w="1134" w:type="dxa"/>
          </w:tcPr>
          <w:p w14:paraId="09DD4D36"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ВВВ- </w:t>
            </w:r>
          </w:p>
        </w:tc>
        <w:tc>
          <w:tcPr>
            <w:tcW w:w="1130" w:type="dxa"/>
          </w:tcPr>
          <w:p w14:paraId="09E7D601"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ВВВ- </w:t>
            </w:r>
          </w:p>
        </w:tc>
      </w:tr>
      <w:tr w:rsidR="008C0A68" w:rsidRPr="00E327C5" w14:paraId="4446A47F" w14:textId="77777777" w:rsidTr="00E41AB9">
        <w:trPr>
          <w:trHeight w:val="253"/>
        </w:trPr>
        <w:tc>
          <w:tcPr>
            <w:tcW w:w="1526" w:type="dxa"/>
          </w:tcPr>
          <w:p w14:paraId="72381795"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AA+(RU), AA(RU)</w:t>
            </w:r>
          </w:p>
        </w:tc>
        <w:tc>
          <w:tcPr>
            <w:tcW w:w="2126" w:type="dxa"/>
          </w:tcPr>
          <w:p w14:paraId="6CEDB087"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ruAA+, ruAA</w:t>
            </w:r>
          </w:p>
        </w:tc>
        <w:tc>
          <w:tcPr>
            <w:tcW w:w="1701" w:type="dxa"/>
          </w:tcPr>
          <w:p w14:paraId="759A1F8E"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AA+.ru, AA.ru</w:t>
            </w:r>
          </w:p>
        </w:tc>
        <w:tc>
          <w:tcPr>
            <w:tcW w:w="1559" w:type="dxa"/>
          </w:tcPr>
          <w:p w14:paraId="34B975CF"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AA+|ru|, AA|ru|</w:t>
            </w:r>
          </w:p>
        </w:tc>
        <w:tc>
          <w:tcPr>
            <w:tcW w:w="1276" w:type="dxa"/>
          </w:tcPr>
          <w:p w14:paraId="49E95D5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Ва1 </w:t>
            </w:r>
          </w:p>
        </w:tc>
        <w:tc>
          <w:tcPr>
            <w:tcW w:w="1134" w:type="dxa"/>
          </w:tcPr>
          <w:p w14:paraId="18AEB5F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 </w:t>
            </w:r>
          </w:p>
        </w:tc>
        <w:tc>
          <w:tcPr>
            <w:tcW w:w="1130" w:type="dxa"/>
          </w:tcPr>
          <w:p w14:paraId="018772A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 </w:t>
            </w:r>
          </w:p>
        </w:tc>
      </w:tr>
      <w:tr w:rsidR="008C0A68" w:rsidRPr="00E327C5" w14:paraId="2D8B1AE1" w14:textId="77777777" w:rsidTr="00E41AB9">
        <w:trPr>
          <w:trHeight w:val="253"/>
        </w:trPr>
        <w:tc>
          <w:tcPr>
            <w:tcW w:w="1526" w:type="dxa"/>
          </w:tcPr>
          <w:p w14:paraId="65217394"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AA-(RU), A+(RU)</w:t>
            </w:r>
          </w:p>
        </w:tc>
        <w:tc>
          <w:tcPr>
            <w:tcW w:w="2126" w:type="dxa"/>
          </w:tcPr>
          <w:p w14:paraId="4F5BD918"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ruAA-, ruA+</w:t>
            </w:r>
          </w:p>
        </w:tc>
        <w:tc>
          <w:tcPr>
            <w:tcW w:w="1701" w:type="dxa"/>
          </w:tcPr>
          <w:p w14:paraId="11A44FE1"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AA-.ru, A+.ru</w:t>
            </w:r>
          </w:p>
        </w:tc>
        <w:tc>
          <w:tcPr>
            <w:tcW w:w="1559" w:type="dxa"/>
          </w:tcPr>
          <w:p w14:paraId="67991C44" w14:textId="77777777" w:rsidR="008C0A68" w:rsidRPr="00E327C5" w:rsidRDefault="008C0A68" w:rsidP="00E41AB9">
            <w:pPr>
              <w:autoSpaceDE w:val="0"/>
              <w:autoSpaceDN w:val="0"/>
              <w:adjustRightInd w:val="0"/>
              <w:rPr>
                <w:rFonts w:eastAsia="Calibri"/>
                <w:color w:val="000000"/>
                <w:sz w:val="23"/>
                <w:szCs w:val="23"/>
              </w:rPr>
            </w:pPr>
            <w:r>
              <w:rPr>
                <w:rFonts w:eastAsia="Calibri"/>
                <w:color w:val="000000"/>
                <w:sz w:val="23"/>
                <w:szCs w:val="23"/>
              </w:rPr>
              <w:t>AA-|ru|, A+|ru|</w:t>
            </w:r>
          </w:p>
        </w:tc>
        <w:tc>
          <w:tcPr>
            <w:tcW w:w="1276" w:type="dxa"/>
          </w:tcPr>
          <w:p w14:paraId="77DE3903"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Ва2 </w:t>
            </w:r>
          </w:p>
        </w:tc>
        <w:tc>
          <w:tcPr>
            <w:tcW w:w="1134" w:type="dxa"/>
          </w:tcPr>
          <w:p w14:paraId="233E1FE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 </w:t>
            </w:r>
          </w:p>
        </w:tc>
        <w:tc>
          <w:tcPr>
            <w:tcW w:w="1130" w:type="dxa"/>
          </w:tcPr>
          <w:p w14:paraId="215AA57B"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 </w:t>
            </w:r>
          </w:p>
        </w:tc>
      </w:tr>
      <w:tr w:rsidR="008C0A68" w:rsidRPr="00E327C5" w14:paraId="4B9AFB66" w14:textId="77777777" w:rsidTr="00E41AB9">
        <w:trPr>
          <w:trHeight w:val="109"/>
        </w:trPr>
        <w:tc>
          <w:tcPr>
            <w:tcW w:w="1526" w:type="dxa"/>
          </w:tcPr>
          <w:p w14:paraId="4C92F03F" w14:textId="77777777" w:rsidR="008C0A68"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A (RU), </w:t>
            </w:r>
          </w:p>
          <w:p w14:paraId="3C1777CE"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A-(RU) </w:t>
            </w:r>
          </w:p>
        </w:tc>
        <w:tc>
          <w:tcPr>
            <w:tcW w:w="2126" w:type="dxa"/>
          </w:tcPr>
          <w:p w14:paraId="6B5BE849"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ruA, ruA- </w:t>
            </w:r>
          </w:p>
        </w:tc>
        <w:tc>
          <w:tcPr>
            <w:tcW w:w="1701" w:type="dxa"/>
          </w:tcPr>
          <w:p w14:paraId="3FEB192D"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A.ru, A-.ru </w:t>
            </w:r>
          </w:p>
        </w:tc>
        <w:tc>
          <w:tcPr>
            <w:tcW w:w="1559" w:type="dxa"/>
          </w:tcPr>
          <w:p w14:paraId="3931B97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A|ru|, A-|ru| </w:t>
            </w:r>
          </w:p>
        </w:tc>
        <w:tc>
          <w:tcPr>
            <w:tcW w:w="1276" w:type="dxa"/>
          </w:tcPr>
          <w:p w14:paraId="43A546E6"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Ва3 </w:t>
            </w:r>
          </w:p>
        </w:tc>
        <w:tc>
          <w:tcPr>
            <w:tcW w:w="1134" w:type="dxa"/>
          </w:tcPr>
          <w:p w14:paraId="369DCDA2"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 </w:t>
            </w:r>
          </w:p>
        </w:tc>
        <w:tc>
          <w:tcPr>
            <w:tcW w:w="1130" w:type="dxa"/>
          </w:tcPr>
          <w:p w14:paraId="5EE67EC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ВВ- </w:t>
            </w:r>
          </w:p>
        </w:tc>
      </w:tr>
      <w:tr w:rsidR="008C0A68" w:rsidRPr="00E327C5" w14:paraId="462C2B51" w14:textId="77777777" w:rsidTr="00E41AB9">
        <w:trPr>
          <w:trHeight w:val="247"/>
        </w:trPr>
        <w:tc>
          <w:tcPr>
            <w:tcW w:w="1526" w:type="dxa"/>
          </w:tcPr>
          <w:p w14:paraId="13AB671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BBB+(RU), </w:t>
            </w:r>
          </w:p>
          <w:p w14:paraId="319F0B44"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 (RU) </w:t>
            </w:r>
          </w:p>
        </w:tc>
        <w:tc>
          <w:tcPr>
            <w:tcW w:w="2126" w:type="dxa"/>
          </w:tcPr>
          <w:p w14:paraId="3D7FF9BC"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ruBBB+, </w:t>
            </w:r>
          </w:p>
          <w:p w14:paraId="719C6674"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ruBBB </w:t>
            </w:r>
          </w:p>
        </w:tc>
        <w:tc>
          <w:tcPr>
            <w:tcW w:w="1701" w:type="dxa"/>
          </w:tcPr>
          <w:p w14:paraId="18136315"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BBB+.ru, </w:t>
            </w:r>
          </w:p>
          <w:p w14:paraId="3ACCE8AF"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BBB.ru </w:t>
            </w:r>
          </w:p>
        </w:tc>
        <w:tc>
          <w:tcPr>
            <w:tcW w:w="1559" w:type="dxa"/>
          </w:tcPr>
          <w:p w14:paraId="6207430F"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BBB+|ru|, BBB|ru| </w:t>
            </w:r>
          </w:p>
        </w:tc>
        <w:tc>
          <w:tcPr>
            <w:tcW w:w="1276" w:type="dxa"/>
          </w:tcPr>
          <w:p w14:paraId="4BA48D36"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В1 </w:t>
            </w:r>
          </w:p>
        </w:tc>
        <w:tc>
          <w:tcPr>
            <w:tcW w:w="1134" w:type="dxa"/>
          </w:tcPr>
          <w:p w14:paraId="02CA26A4"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 </w:t>
            </w:r>
          </w:p>
        </w:tc>
        <w:tc>
          <w:tcPr>
            <w:tcW w:w="1130" w:type="dxa"/>
          </w:tcPr>
          <w:p w14:paraId="203902C6"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 </w:t>
            </w:r>
          </w:p>
        </w:tc>
      </w:tr>
      <w:tr w:rsidR="008C0A68" w:rsidRPr="00E327C5" w14:paraId="2571D620" w14:textId="77777777" w:rsidTr="00E41AB9">
        <w:trPr>
          <w:trHeight w:val="253"/>
        </w:trPr>
        <w:tc>
          <w:tcPr>
            <w:tcW w:w="1526" w:type="dxa"/>
          </w:tcPr>
          <w:p w14:paraId="2786948D"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BBB-(RU), BB+(RU) </w:t>
            </w:r>
          </w:p>
        </w:tc>
        <w:tc>
          <w:tcPr>
            <w:tcW w:w="2126" w:type="dxa"/>
          </w:tcPr>
          <w:p w14:paraId="70FD9BB1"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ruBBB-, </w:t>
            </w:r>
          </w:p>
          <w:p w14:paraId="4C4AD78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ruBB+ </w:t>
            </w:r>
          </w:p>
        </w:tc>
        <w:tc>
          <w:tcPr>
            <w:tcW w:w="1701" w:type="dxa"/>
          </w:tcPr>
          <w:p w14:paraId="6E3B2431"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BBB-.ru, </w:t>
            </w:r>
          </w:p>
          <w:p w14:paraId="6DE856F2"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1559" w:type="dxa"/>
          </w:tcPr>
          <w:p w14:paraId="055C7888"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BBB-|ru|, </w:t>
            </w:r>
          </w:p>
          <w:p w14:paraId="47889B33"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1276" w:type="dxa"/>
          </w:tcPr>
          <w:p w14:paraId="5EB6CA4B"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В2 </w:t>
            </w:r>
          </w:p>
        </w:tc>
        <w:tc>
          <w:tcPr>
            <w:tcW w:w="1134" w:type="dxa"/>
          </w:tcPr>
          <w:p w14:paraId="257B8620"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 </w:t>
            </w:r>
          </w:p>
        </w:tc>
        <w:tc>
          <w:tcPr>
            <w:tcW w:w="1130" w:type="dxa"/>
          </w:tcPr>
          <w:p w14:paraId="0ED53C2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В </w:t>
            </w:r>
          </w:p>
        </w:tc>
      </w:tr>
      <w:tr w:rsidR="008C0A68" w:rsidRPr="00E327C5" w14:paraId="342E55EE" w14:textId="77777777" w:rsidTr="00E41AB9">
        <w:trPr>
          <w:trHeight w:val="109"/>
        </w:trPr>
        <w:tc>
          <w:tcPr>
            <w:tcW w:w="1526" w:type="dxa"/>
          </w:tcPr>
          <w:p w14:paraId="1B304C50"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2126" w:type="dxa"/>
          </w:tcPr>
          <w:p w14:paraId="26EC65DE"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ruBB </w:t>
            </w:r>
          </w:p>
        </w:tc>
        <w:tc>
          <w:tcPr>
            <w:tcW w:w="1701" w:type="dxa"/>
          </w:tcPr>
          <w:p w14:paraId="560CB01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1559" w:type="dxa"/>
          </w:tcPr>
          <w:p w14:paraId="3FCC5645"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1276" w:type="dxa"/>
          </w:tcPr>
          <w:p w14:paraId="1D166ED5"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B3 </w:t>
            </w:r>
          </w:p>
        </w:tc>
        <w:tc>
          <w:tcPr>
            <w:tcW w:w="1134" w:type="dxa"/>
          </w:tcPr>
          <w:p w14:paraId="00A6AC16"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 </w:t>
            </w:r>
          </w:p>
        </w:tc>
        <w:tc>
          <w:tcPr>
            <w:tcW w:w="1130" w:type="dxa"/>
          </w:tcPr>
          <w:p w14:paraId="15247F24"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 </w:t>
            </w:r>
          </w:p>
        </w:tc>
      </w:tr>
      <w:tr w:rsidR="008C0A68" w:rsidRPr="00E327C5" w14:paraId="55F7959F" w14:textId="77777777" w:rsidTr="00E41AB9">
        <w:trPr>
          <w:trHeight w:val="247"/>
        </w:trPr>
        <w:tc>
          <w:tcPr>
            <w:tcW w:w="1526" w:type="dxa"/>
          </w:tcPr>
          <w:p w14:paraId="70A3663C"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2126" w:type="dxa"/>
          </w:tcPr>
          <w:p w14:paraId="4795FB0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ruBB- </w:t>
            </w:r>
          </w:p>
        </w:tc>
        <w:tc>
          <w:tcPr>
            <w:tcW w:w="1701" w:type="dxa"/>
          </w:tcPr>
          <w:p w14:paraId="5FCC1B13"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1559" w:type="dxa"/>
          </w:tcPr>
          <w:p w14:paraId="34379872"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BB-|ru| </w:t>
            </w:r>
          </w:p>
        </w:tc>
        <w:tc>
          <w:tcPr>
            <w:tcW w:w="1276" w:type="dxa"/>
          </w:tcPr>
          <w:p w14:paraId="53E02082"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Ca - C </w:t>
            </w:r>
          </w:p>
        </w:tc>
        <w:tc>
          <w:tcPr>
            <w:tcW w:w="1134" w:type="dxa"/>
          </w:tcPr>
          <w:p w14:paraId="584C05EC"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c>
          <w:tcPr>
            <w:tcW w:w="1130" w:type="dxa"/>
          </w:tcPr>
          <w:p w14:paraId="778C21BF"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r>
      <w:tr w:rsidR="008C0A68" w:rsidRPr="00E327C5" w14:paraId="700121AE" w14:textId="77777777" w:rsidTr="00E41AB9">
        <w:trPr>
          <w:trHeight w:val="247"/>
        </w:trPr>
        <w:tc>
          <w:tcPr>
            <w:tcW w:w="1526" w:type="dxa"/>
          </w:tcPr>
          <w:p w14:paraId="1633CAB5"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B+(RU), B(RU), B-(RU) </w:t>
            </w:r>
          </w:p>
        </w:tc>
        <w:tc>
          <w:tcPr>
            <w:tcW w:w="2126" w:type="dxa"/>
          </w:tcPr>
          <w:p w14:paraId="5BF4425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 ruB, </w:t>
            </w:r>
          </w:p>
          <w:p w14:paraId="44A1F379"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ruB- </w:t>
            </w:r>
          </w:p>
        </w:tc>
        <w:tc>
          <w:tcPr>
            <w:tcW w:w="1701" w:type="dxa"/>
          </w:tcPr>
          <w:p w14:paraId="14064A11"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B+.ru, B.ru, </w:t>
            </w:r>
          </w:p>
          <w:p w14:paraId="5054313C"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B-.ru </w:t>
            </w:r>
          </w:p>
        </w:tc>
        <w:tc>
          <w:tcPr>
            <w:tcW w:w="1559" w:type="dxa"/>
          </w:tcPr>
          <w:p w14:paraId="48F1BA71"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B+|ru|, B|ru|, </w:t>
            </w:r>
          </w:p>
          <w:p w14:paraId="7C8A4D40"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B-|ru| </w:t>
            </w:r>
          </w:p>
        </w:tc>
        <w:tc>
          <w:tcPr>
            <w:tcW w:w="1276" w:type="dxa"/>
          </w:tcPr>
          <w:p w14:paraId="60C28609"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Ca - C </w:t>
            </w:r>
          </w:p>
        </w:tc>
        <w:tc>
          <w:tcPr>
            <w:tcW w:w="1134" w:type="dxa"/>
          </w:tcPr>
          <w:p w14:paraId="219CF5C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c>
          <w:tcPr>
            <w:tcW w:w="1130" w:type="dxa"/>
          </w:tcPr>
          <w:p w14:paraId="1D8E1D2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r>
      <w:tr w:rsidR="008C0A68" w:rsidRPr="00E327C5" w14:paraId="480B6BEC" w14:textId="77777777" w:rsidTr="00E41AB9">
        <w:trPr>
          <w:trHeight w:val="247"/>
        </w:trPr>
        <w:tc>
          <w:tcPr>
            <w:tcW w:w="1526" w:type="dxa"/>
          </w:tcPr>
          <w:p w14:paraId="7675F91C"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CCC(RU) </w:t>
            </w:r>
          </w:p>
        </w:tc>
        <w:tc>
          <w:tcPr>
            <w:tcW w:w="2126" w:type="dxa"/>
          </w:tcPr>
          <w:p w14:paraId="26E28C67"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ruССС </w:t>
            </w:r>
          </w:p>
        </w:tc>
        <w:tc>
          <w:tcPr>
            <w:tcW w:w="1701" w:type="dxa"/>
          </w:tcPr>
          <w:p w14:paraId="5C310E2D"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CCC.ru </w:t>
            </w:r>
          </w:p>
        </w:tc>
        <w:tc>
          <w:tcPr>
            <w:tcW w:w="1559" w:type="dxa"/>
          </w:tcPr>
          <w:p w14:paraId="60F9CE7B"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CCC|ru| </w:t>
            </w:r>
          </w:p>
        </w:tc>
        <w:tc>
          <w:tcPr>
            <w:tcW w:w="1276" w:type="dxa"/>
          </w:tcPr>
          <w:p w14:paraId="6A73215E"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Ca - C </w:t>
            </w:r>
          </w:p>
        </w:tc>
        <w:tc>
          <w:tcPr>
            <w:tcW w:w="1134" w:type="dxa"/>
          </w:tcPr>
          <w:p w14:paraId="5DD40770"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c>
          <w:tcPr>
            <w:tcW w:w="1130" w:type="dxa"/>
          </w:tcPr>
          <w:p w14:paraId="2A2E29EE"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r>
      <w:tr w:rsidR="008C0A68" w:rsidRPr="00E327C5" w14:paraId="54E47E56" w14:textId="77777777" w:rsidTr="00E41AB9">
        <w:trPr>
          <w:trHeight w:val="391"/>
        </w:trPr>
        <w:tc>
          <w:tcPr>
            <w:tcW w:w="1526" w:type="dxa"/>
          </w:tcPr>
          <w:p w14:paraId="79381C1D"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CC(RU) и ниже (не включая D(RU)) </w:t>
            </w:r>
          </w:p>
        </w:tc>
        <w:tc>
          <w:tcPr>
            <w:tcW w:w="2126" w:type="dxa"/>
          </w:tcPr>
          <w:p w14:paraId="789B8D80"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ruCC и ниже (не включая ruD) </w:t>
            </w:r>
          </w:p>
        </w:tc>
        <w:tc>
          <w:tcPr>
            <w:tcW w:w="1701" w:type="dxa"/>
          </w:tcPr>
          <w:p w14:paraId="02906934"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CC.ru и ниже (не включая D) </w:t>
            </w:r>
          </w:p>
        </w:tc>
        <w:tc>
          <w:tcPr>
            <w:tcW w:w="1559" w:type="dxa"/>
          </w:tcPr>
          <w:p w14:paraId="7920B38C"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CC|ru| и ниже (не включая D|ru|) </w:t>
            </w:r>
          </w:p>
        </w:tc>
        <w:tc>
          <w:tcPr>
            <w:tcW w:w="1276" w:type="dxa"/>
          </w:tcPr>
          <w:p w14:paraId="769502E3"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Ca - C </w:t>
            </w:r>
          </w:p>
        </w:tc>
        <w:tc>
          <w:tcPr>
            <w:tcW w:w="1134" w:type="dxa"/>
          </w:tcPr>
          <w:p w14:paraId="4D9CA724"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c>
          <w:tcPr>
            <w:tcW w:w="1130" w:type="dxa"/>
          </w:tcPr>
          <w:p w14:paraId="0DC4E07B"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CCC - C </w:t>
            </w:r>
          </w:p>
        </w:tc>
      </w:tr>
      <w:tr w:rsidR="008C0A68" w:rsidRPr="00E327C5" w14:paraId="7C527084" w14:textId="77777777" w:rsidTr="00E41AB9">
        <w:trPr>
          <w:trHeight w:val="109"/>
        </w:trPr>
        <w:tc>
          <w:tcPr>
            <w:tcW w:w="1526" w:type="dxa"/>
          </w:tcPr>
          <w:p w14:paraId="5CCF9729"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D(RU) </w:t>
            </w:r>
          </w:p>
        </w:tc>
        <w:tc>
          <w:tcPr>
            <w:tcW w:w="2126" w:type="dxa"/>
          </w:tcPr>
          <w:p w14:paraId="22E6EBA5"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ruD </w:t>
            </w:r>
          </w:p>
        </w:tc>
        <w:tc>
          <w:tcPr>
            <w:tcW w:w="1701" w:type="dxa"/>
          </w:tcPr>
          <w:p w14:paraId="0FEAD410"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D </w:t>
            </w:r>
          </w:p>
        </w:tc>
        <w:tc>
          <w:tcPr>
            <w:tcW w:w="1559" w:type="dxa"/>
          </w:tcPr>
          <w:p w14:paraId="3ED6295A"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D|ru| </w:t>
            </w:r>
          </w:p>
        </w:tc>
        <w:tc>
          <w:tcPr>
            <w:tcW w:w="1276" w:type="dxa"/>
          </w:tcPr>
          <w:p w14:paraId="38FD3CBC"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D </w:t>
            </w:r>
          </w:p>
        </w:tc>
        <w:tc>
          <w:tcPr>
            <w:tcW w:w="1134" w:type="dxa"/>
          </w:tcPr>
          <w:p w14:paraId="660FC65F"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D </w:t>
            </w:r>
          </w:p>
        </w:tc>
        <w:tc>
          <w:tcPr>
            <w:tcW w:w="1130" w:type="dxa"/>
          </w:tcPr>
          <w:p w14:paraId="063A0EB2" w14:textId="77777777" w:rsidR="008C0A68" w:rsidRPr="00E327C5" w:rsidRDefault="008C0A68" w:rsidP="00E41AB9">
            <w:pPr>
              <w:autoSpaceDE w:val="0"/>
              <w:autoSpaceDN w:val="0"/>
              <w:adjustRightInd w:val="0"/>
              <w:rPr>
                <w:rFonts w:eastAsia="Calibri"/>
                <w:color w:val="000000"/>
                <w:sz w:val="23"/>
                <w:szCs w:val="23"/>
              </w:rPr>
            </w:pPr>
            <w:r w:rsidRPr="00E327C5">
              <w:rPr>
                <w:rFonts w:eastAsia="Calibri"/>
                <w:color w:val="000000"/>
                <w:sz w:val="23"/>
                <w:szCs w:val="23"/>
              </w:rPr>
              <w:t xml:space="preserve">D </w:t>
            </w:r>
          </w:p>
        </w:tc>
      </w:tr>
    </w:tbl>
    <w:p w14:paraId="01B37E74" w14:textId="77777777" w:rsidR="008C0A68" w:rsidRPr="008F3278" w:rsidRDefault="008C0A68" w:rsidP="008C0A68">
      <w:pPr>
        <w:tabs>
          <w:tab w:val="left" w:pos="993"/>
        </w:tabs>
        <w:jc w:val="both"/>
        <w:rPr>
          <w:rFonts w:eastAsia="Batang"/>
          <w:sz w:val="22"/>
        </w:rPr>
      </w:pPr>
    </w:p>
    <w:p w14:paraId="5E06DD6A" w14:textId="77777777" w:rsidR="008C0A68" w:rsidRDefault="008C0A68" w:rsidP="008C0A68">
      <w:pPr>
        <w:pStyle w:val="10"/>
        <w:numPr>
          <w:ilvl w:val="0"/>
          <w:numId w:val="0"/>
        </w:numPr>
        <w:ind w:left="432"/>
        <w:rPr>
          <w:rFonts w:ascii="Times New Roman" w:hAnsi="Times New Roman" w:cs="Times New Roman"/>
          <w:b/>
          <w:bCs/>
          <w:iCs/>
          <w:caps/>
          <w:smallCaps/>
          <w:color w:val="943634"/>
        </w:rPr>
      </w:pPr>
    </w:p>
    <w:p w14:paraId="48690AF8" w14:textId="77777777" w:rsidR="008C0A68" w:rsidRDefault="008C0A68" w:rsidP="008C0A68">
      <w:pPr>
        <w:pStyle w:val="10"/>
        <w:numPr>
          <w:ilvl w:val="0"/>
          <w:numId w:val="0"/>
        </w:numPr>
        <w:ind w:left="432"/>
        <w:rPr>
          <w:rFonts w:ascii="Times New Roman" w:hAnsi="Times New Roman" w:cs="Times New Roman"/>
          <w:b/>
          <w:bCs/>
          <w:iCs/>
          <w:caps/>
          <w:smallCaps/>
          <w:color w:val="943634"/>
        </w:rPr>
      </w:pPr>
    </w:p>
    <w:p w14:paraId="00D6A650" w14:textId="77777777" w:rsidR="008C0A68" w:rsidRDefault="008C0A68" w:rsidP="008C0A68">
      <w:pPr>
        <w:pStyle w:val="10"/>
        <w:numPr>
          <w:ilvl w:val="0"/>
          <w:numId w:val="0"/>
        </w:numPr>
        <w:ind w:left="432"/>
        <w:rPr>
          <w:rFonts w:ascii="Times New Roman" w:hAnsi="Times New Roman" w:cs="Times New Roman"/>
          <w:b/>
          <w:bCs/>
          <w:iCs/>
          <w:caps/>
          <w:smallCaps/>
          <w:color w:val="943634"/>
        </w:rPr>
      </w:pPr>
    </w:p>
    <w:p w14:paraId="45B6F2D9" w14:textId="77777777" w:rsidR="008C0A68" w:rsidRDefault="008C0A68" w:rsidP="008C0A68"/>
    <w:p w14:paraId="168F59FC" w14:textId="77777777" w:rsidR="008C0A68" w:rsidRDefault="008C0A68" w:rsidP="008C0A68"/>
    <w:p w14:paraId="147BCDC0" w14:textId="77777777" w:rsidR="008C0A68" w:rsidRDefault="008C0A68" w:rsidP="008C0A68"/>
    <w:p w14:paraId="6C90F0E0" w14:textId="77777777" w:rsidR="008C0A68" w:rsidRDefault="008C0A68" w:rsidP="008C0A68">
      <w:pPr>
        <w:pStyle w:val="affd"/>
      </w:pPr>
      <w:r w:rsidRPr="00207827">
        <w:lastRenderedPageBreak/>
        <w:t xml:space="preserve">Приложение </w:t>
      </w:r>
      <w:r>
        <w:t>2</w:t>
      </w:r>
    </w:p>
    <w:p w14:paraId="0F75AF13" w14:textId="77777777" w:rsidR="008C0A68" w:rsidRPr="00AC6698" w:rsidRDefault="008C0A68" w:rsidP="008C0A68">
      <w:pPr>
        <w:pStyle w:val="affd"/>
        <w:jc w:val="left"/>
        <w:rPr>
          <w:rFonts w:eastAsia="Calibri"/>
          <w:lang w:eastAsia="en-US"/>
        </w:rPr>
      </w:pPr>
      <w:r w:rsidRPr="00AC6698">
        <w:rPr>
          <w:rFonts w:eastAsia="Calibri"/>
          <w:lang w:eastAsia="en-US"/>
        </w:rPr>
        <w:t xml:space="preserve">Классификация и порядок оценки операционной дебиторской задолженности  </w:t>
      </w:r>
    </w:p>
    <w:p w14:paraId="30CA1C62" w14:textId="77777777" w:rsidR="008C0A68" w:rsidRDefault="008C0A68" w:rsidP="008C0A68">
      <w:pPr>
        <w:jc w:val="both"/>
        <w:rPr>
          <w:rFonts w:eastAsia="Calibri"/>
          <w:szCs w:val="24"/>
          <w:lang w:eastAsia="en-US"/>
        </w:rPr>
      </w:pPr>
    </w:p>
    <w:p w14:paraId="54AFA315" w14:textId="77777777" w:rsidR="008C0A68" w:rsidRPr="00AC6698" w:rsidRDefault="008C0A68" w:rsidP="008C0A68">
      <w:pPr>
        <w:spacing w:after="148"/>
        <w:ind w:right="45" w:firstLine="708"/>
        <w:jc w:val="both"/>
        <w:rPr>
          <w:color w:val="000000"/>
          <w:szCs w:val="22"/>
        </w:rPr>
      </w:pPr>
      <w:r w:rsidRPr="00AC6698">
        <w:rPr>
          <w:b/>
          <w:color w:val="000000"/>
          <w:szCs w:val="22"/>
        </w:rPr>
        <w:t>Операционная дебиторская задолженность</w:t>
      </w:r>
      <w:r w:rsidRPr="00AC6698">
        <w:rPr>
          <w:color w:val="000000"/>
          <w:szCs w:val="22"/>
        </w:rPr>
        <w:t xml:space="preserve"> – дебиторская задолженность контрагента, возникающая в ходе нормального операционного цикла, которая будет погашена в течение срока, установленного </w:t>
      </w:r>
      <w:r>
        <w:rPr>
          <w:color w:val="000000"/>
          <w:szCs w:val="22"/>
        </w:rPr>
        <w:t>ниже</w:t>
      </w:r>
      <w:r w:rsidRPr="00AC6698">
        <w:rPr>
          <w:color w:val="000000"/>
          <w:szCs w:val="22"/>
        </w:rPr>
        <w:t>. Допустимые сроки просрочки, установленные для операционной дебиторской задолженности, не должны приводить к признанию безнадежной к получению задолженности, а также к обесценению задолженности. Такая задолженность будет реализована управляющей компанией в полном объеме в сроки, укладывающиеся в нормальную рыночную (или внутреннюю) практику взаимодействия с конкретным видом дебиторской задолженности. Операционная дебиторская задолженность оценивается по номиналу в случае отсутствия иных факторов обесценения</w:t>
      </w:r>
      <w:r>
        <w:rPr>
          <w:color w:val="000000"/>
          <w:szCs w:val="22"/>
        </w:rPr>
        <w:t xml:space="preserve"> и выполнения условий признания задолженности операционной</w:t>
      </w:r>
      <w:r w:rsidRPr="00AC6698">
        <w:rPr>
          <w:color w:val="000000"/>
          <w:szCs w:val="22"/>
        </w:rPr>
        <w:t xml:space="preserve">. </w:t>
      </w:r>
    </w:p>
    <w:p w14:paraId="71104168" w14:textId="77777777" w:rsidR="008C0A68" w:rsidRPr="00AC6698" w:rsidRDefault="008C0A68" w:rsidP="008C0A68">
      <w:pPr>
        <w:spacing w:after="76"/>
        <w:ind w:right="45" w:firstLine="708"/>
        <w:jc w:val="both"/>
        <w:rPr>
          <w:color w:val="000000"/>
          <w:szCs w:val="22"/>
        </w:rPr>
      </w:pPr>
      <w:r w:rsidRPr="00AC6698">
        <w:rPr>
          <w:color w:val="000000"/>
          <w:szCs w:val="22"/>
        </w:rPr>
        <w:t xml:space="preserve">Дебиторская задолженность, по которой выявлен один или несколько признаков обесценения, указанных </w:t>
      </w:r>
      <w:r w:rsidRPr="00D60128">
        <w:rPr>
          <w:color w:val="000000"/>
          <w:szCs w:val="22"/>
        </w:rPr>
        <w:t xml:space="preserve">в </w:t>
      </w:r>
      <w:r w:rsidRPr="009052E7">
        <w:rPr>
          <w:color w:val="000000"/>
          <w:szCs w:val="22"/>
        </w:rPr>
        <w:t>Приложении 3,</w:t>
      </w:r>
      <w:r w:rsidRPr="00D60128">
        <w:rPr>
          <w:color w:val="000000"/>
          <w:szCs w:val="22"/>
        </w:rPr>
        <w:t xml:space="preserve"> кроме</w:t>
      </w:r>
      <w:r w:rsidRPr="00AC6698">
        <w:rPr>
          <w:color w:val="000000"/>
          <w:szCs w:val="22"/>
        </w:rPr>
        <w:t xml:space="preserve"> допустимой просрочки обязательств в рамках операционного цикла, не может быть признана операционной. </w:t>
      </w:r>
    </w:p>
    <w:p w14:paraId="17AA1863" w14:textId="77777777" w:rsidR="008C0A68" w:rsidRPr="00AC6698" w:rsidRDefault="008C0A68" w:rsidP="008C0A68">
      <w:pPr>
        <w:spacing w:after="118"/>
        <w:ind w:right="45" w:firstLine="708"/>
        <w:jc w:val="both"/>
        <w:rPr>
          <w:color w:val="000000"/>
          <w:szCs w:val="22"/>
        </w:rPr>
      </w:pPr>
      <w:r w:rsidRPr="00AC6698">
        <w:rPr>
          <w:color w:val="000000"/>
          <w:szCs w:val="22"/>
        </w:rPr>
        <w:t xml:space="preserve">Дебиторская задолженность с повышенным уровнем риска невозврата не может быть признана операционной (например, если у контрагента отсутствуют источники погашения такой задолженности). </w:t>
      </w:r>
    </w:p>
    <w:p w14:paraId="73764D20" w14:textId="77777777" w:rsidR="008C0A68" w:rsidRPr="00AC6698" w:rsidRDefault="008C0A68" w:rsidP="008C0A68">
      <w:pPr>
        <w:spacing w:after="117"/>
        <w:ind w:right="45" w:firstLine="708"/>
        <w:jc w:val="both"/>
        <w:rPr>
          <w:color w:val="000000"/>
          <w:szCs w:val="22"/>
        </w:rPr>
      </w:pPr>
      <w:r>
        <w:rPr>
          <w:color w:val="000000"/>
          <w:szCs w:val="22"/>
        </w:rPr>
        <w:t>Необходимо</w:t>
      </w:r>
      <w:r w:rsidRPr="00AC6698">
        <w:rPr>
          <w:color w:val="000000"/>
          <w:szCs w:val="22"/>
        </w:rPr>
        <w:t xml:space="preserve"> проводить анализ уровня риска по дебиторской задолженности, которая ранее была квалифицирована операционной, и по иной дебиторской задолженности, признание которой осуществляется.  </w:t>
      </w:r>
    </w:p>
    <w:p w14:paraId="1C79C98D" w14:textId="77777777" w:rsidR="008C0A68" w:rsidRPr="00AC6698" w:rsidRDefault="008C0A68" w:rsidP="008C0A68">
      <w:pPr>
        <w:spacing w:after="302"/>
        <w:ind w:left="355" w:right="45" w:hanging="10"/>
        <w:jc w:val="both"/>
        <w:rPr>
          <w:color w:val="000000"/>
          <w:szCs w:val="22"/>
        </w:rPr>
      </w:pPr>
      <w:r w:rsidRPr="00AC6698">
        <w:rPr>
          <w:color w:val="000000"/>
          <w:szCs w:val="22"/>
        </w:rPr>
        <w:t xml:space="preserve">Анализ уровня риска проводится:  </w:t>
      </w:r>
    </w:p>
    <w:p w14:paraId="0735E2B2" w14:textId="77777777" w:rsidR="008C0A68" w:rsidRPr="00AC6698" w:rsidRDefault="008C0A68" w:rsidP="004872F3">
      <w:pPr>
        <w:numPr>
          <w:ilvl w:val="0"/>
          <w:numId w:val="13"/>
        </w:numPr>
        <w:spacing w:after="136"/>
        <w:ind w:right="45" w:hanging="360"/>
        <w:jc w:val="both"/>
        <w:rPr>
          <w:color w:val="000000"/>
          <w:szCs w:val="22"/>
        </w:rPr>
      </w:pPr>
      <w:r w:rsidRPr="00AC6698">
        <w:rPr>
          <w:color w:val="000000"/>
          <w:szCs w:val="22"/>
        </w:rPr>
        <w:t xml:space="preserve">на каждую отчетную дату, установленную Правилами определения СЧА ПИФ; </w:t>
      </w:r>
    </w:p>
    <w:p w14:paraId="39466A2E" w14:textId="77777777" w:rsidR="008C0A68" w:rsidRPr="00AC6698" w:rsidRDefault="008C0A68" w:rsidP="004872F3">
      <w:pPr>
        <w:numPr>
          <w:ilvl w:val="0"/>
          <w:numId w:val="13"/>
        </w:numPr>
        <w:spacing w:after="138"/>
        <w:ind w:right="45" w:hanging="360"/>
        <w:jc w:val="both"/>
        <w:rPr>
          <w:color w:val="000000"/>
          <w:szCs w:val="22"/>
        </w:rPr>
      </w:pPr>
      <w:r w:rsidRPr="00AC6698">
        <w:rPr>
          <w:color w:val="000000"/>
          <w:szCs w:val="22"/>
        </w:rPr>
        <w:t xml:space="preserve">при первоначальном признании дебиторской задолженности; </w:t>
      </w:r>
    </w:p>
    <w:p w14:paraId="5D64444B" w14:textId="77777777" w:rsidR="008C0A68" w:rsidRPr="00AC6698" w:rsidRDefault="008C0A68" w:rsidP="004872F3">
      <w:pPr>
        <w:numPr>
          <w:ilvl w:val="0"/>
          <w:numId w:val="13"/>
        </w:numPr>
        <w:spacing w:after="191"/>
        <w:ind w:right="45" w:hanging="360"/>
        <w:jc w:val="both"/>
        <w:rPr>
          <w:color w:val="000000"/>
          <w:szCs w:val="22"/>
        </w:rPr>
      </w:pPr>
      <w:r w:rsidRPr="00AC6698">
        <w:rPr>
          <w:color w:val="000000"/>
          <w:szCs w:val="22"/>
        </w:rPr>
        <w:t xml:space="preserve">на момент перехода дебиторской задолженности из статуса «операционной» в статус «просроченной». </w:t>
      </w:r>
    </w:p>
    <w:p w14:paraId="6A9CEC6D" w14:textId="77777777" w:rsidR="008C0A68" w:rsidRPr="00AC6698" w:rsidRDefault="008C0A68" w:rsidP="008C0A68">
      <w:pPr>
        <w:spacing w:after="76"/>
        <w:ind w:right="45" w:firstLine="360"/>
        <w:jc w:val="both"/>
        <w:rPr>
          <w:color w:val="000000"/>
          <w:szCs w:val="22"/>
        </w:rPr>
      </w:pPr>
      <w:r w:rsidRPr="00AC6698">
        <w:rPr>
          <w:color w:val="000000"/>
          <w:szCs w:val="22"/>
        </w:rPr>
        <w:t xml:space="preserve">Для целей проведения анализа, </w:t>
      </w:r>
      <w:r>
        <w:rPr>
          <w:color w:val="000000"/>
          <w:szCs w:val="22"/>
        </w:rPr>
        <w:t>необходимо</w:t>
      </w:r>
      <w:r w:rsidRPr="00AC6698">
        <w:rPr>
          <w:color w:val="000000"/>
          <w:szCs w:val="22"/>
        </w:rPr>
        <w:t xml:space="preserve"> использовать обоснованную и подтверждаемую информацию, доступную без чрезмерных затрат и усилий. </w:t>
      </w:r>
    </w:p>
    <w:p w14:paraId="2127031E" w14:textId="77777777" w:rsidR="008C0A68" w:rsidRPr="00AC6698" w:rsidRDefault="008C0A68" w:rsidP="008C0A68">
      <w:pPr>
        <w:spacing w:after="299"/>
        <w:ind w:left="355" w:right="45" w:hanging="10"/>
        <w:jc w:val="both"/>
        <w:rPr>
          <w:color w:val="000000"/>
          <w:szCs w:val="22"/>
        </w:rPr>
      </w:pPr>
      <w:r w:rsidRPr="00AC6698">
        <w:rPr>
          <w:color w:val="000000"/>
          <w:szCs w:val="22"/>
        </w:rPr>
        <w:t>В процессе анализа определяет</w:t>
      </w:r>
      <w:r>
        <w:rPr>
          <w:color w:val="000000"/>
          <w:szCs w:val="22"/>
        </w:rPr>
        <w:t>ся</w:t>
      </w:r>
      <w:r w:rsidRPr="00AC6698">
        <w:rPr>
          <w:color w:val="000000"/>
          <w:szCs w:val="22"/>
        </w:rPr>
        <w:t xml:space="preserve">: </w:t>
      </w:r>
    </w:p>
    <w:p w14:paraId="70AF507D" w14:textId="77777777" w:rsidR="008C0A68" w:rsidRPr="00AC6698" w:rsidRDefault="008C0A68" w:rsidP="004872F3">
      <w:pPr>
        <w:numPr>
          <w:ilvl w:val="0"/>
          <w:numId w:val="13"/>
        </w:numPr>
        <w:spacing w:after="138"/>
        <w:ind w:right="45" w:hanging="360"/>
        <w:jc w:val="both"/>
        <w:rPr>
          <w:color w:val="000000"/>
          <w:szCs w:val="22"/>
        </w:rPr>
      </w:pPr>
      <w:r w:rsidRPr="00AC6698">
        <w:rPr>
          <w:color w:val="000000"/>
          <w:szCs w:val="22"/>
        </w:rPr>
        <w:t xml:space="preserve">возможность квалификации дебиторской задолженности в качестве операционной, признание которой осуществляется впервые;  </w:t>
      </w:r>
    </w:p>
    <w:p w14:paraId="10AFCD44" w14:textId="77777777" w:rsidR="008C0A68" w:rsidRDefault="008C0A68" w:rsidP="004872F3">
      <w:pPr>
        <w:numPr>
          <w:ilvl w:val="0"/>
          <w:numId w:val="13"/>
        </w:numPr>
        <w:spacing w:after="76"/>
        <w:ind w:right="45" w:hanging="360"/>
        <w:jc w:val="both"/>
        <w:rPr>
          <w:color w:val="000000"/>
          <w:szCs w:val="22"/>
        </w:rPr>
      </w:pPr>
      <w:r w:rsidRPr="00AC6698">
        <w:rPr>
          <w:color w:val="000000"/>
          <w:szCs w:val="22"/>
        </w:rPr>
        <w:t xml:space="preserve">необходимость изменения подхода к учету дебиторской задолженности, ранее признанной операционной. </w:t>
      </w:r>
    </w:p>
    <w:p w14:paraId="436254F0" w14:textId="77777777" w:rsidR="008C0A68" w:rsidRDefault="008C0A68" w:rsidP="004872F3">
      <w:pPr>
        <w:numPr>
          <w:ilvl w:val="0"/>
          <w:numId w:val="13"/>
        </w:numPr>
        <w:spacing w:after="76"/>
        <w:ind w:right="45" w:hanging="360"/>
        <w:jc w:val="both"/>
        <w:rPr>
          <w:color w:val="000000"/>
          <w:szCs w:val="22"/>
        </w:rPr>
        <w:sectPr w:rsidR="008C0A68" w:rsidSect="00E41AB9">
          <w:footerReference w:type="default" r:id="rId94"/>
          <w:pgSz w:w="11906" w:h="16838"/>
          <w:pgMar w:top="851" w:right="1361" w:bottom="680" w:left="851" w:header="709" w:footer="709" w:gutter="0"/>
          <w:cols w:space="708"/>
          <w:docGrid w:linePitch="360"/>
        </w:sectPr>
      </w:pPr>
    </w:p>
    <w:p w14:paraId="2E614D9C" w14:textId="77777777" w:rsidR="008C0A68" w:rsidRPr="00AC6698" w:rsidRDefault="008C0A68" w:rsidP="008C0A68">
      <w:pPr>
        <w:spacing w:after="76"/>
        <w:ind w:left="705" w:right="45"/>
        <w:jc w:val="both"/>
        <w:rPr>
          <w:color w:val="000000"/>
          <w:szCs w:val="22"/>
        </w:rPr>
      </w:pPr>
    </w:p>
    <w:p w14:paraId="65EB2C04" w14:textId="77777777" w:rsidR="008C0A68" w:rsidRPr="006F6BD1" w:rsidRDefault="008C0A68" w:rsidP="008C0A68">
      <w:pPr>
        <w:ind w:left="3416"/>
        <w:rPr>
          <w:b/>
          <w:color w:val="000000"/>
          <w:sz w:val="20"/>
        </w:rPr>
      </w:pPr>
      <w:r w:rsidRPr="006F6BD1">
        <w:rPr>
          <w:b/>
          <w:color w:val="000000"/>
          <w:sz w:val="20"/>
        </w:rPr>
        <w:t xml:space="preserve"> В</w:t>
      </w:r>
      <w:r w:rsidRPr="00585C5E">
        <w:rPr>
          <w:b/>
          <w:color w:val="000000"/>
          <w:sz w:val="20"/>
        </w:rPr>
        <w:t xml:space="preserve">иды, условия и сроки признания операционной дебиторской задолженности </w:t>
      </w:r>
    </w:p>
    <w:tbl>
      <w:tblPr>
        <w:tblW w:w="14789" w:type="dxa"/>
        <w:tblInd w:w="-108" w:type="dxa"/>
        <w:tblCellMar>
          <w:top w:w="53" w:type="dxa"/>
          <w:right w:w="54" w:type="dxa"/>
        </w:tblCellMar>
        <w:tblLook w:val="04A0" w:firstRow="1" w:lastRow="0" w:firstColumn="1" w:lastColumn="0" w:noHBand="0" w:noVBand="1"/>
      </w:tblPr>
      <w:tblGrid>
        <w:gridCol w:w="4929"/>
        <w:gridCol w:w="5105"/>
        <w:gridCol w:w="4755"/>
      </w:tblGrid>
      <w:tr w:rsidR="008C0A68" w:rsidRPr="00585C5E" w14:paraId="4C997098" w14:textId="77777777" w:rsidTr="00E41AB9">
        <w:trPr>
          <w:trHeight w:val="1870"/>
        </w:trPr>
        <w:tc>
          <w:tcPr>
            <w:tcW w:w="4929" w:type="dxa"/>
            <w:tcBorders>
              <w:top w:val="single" w:sz="4" w:space="0" w:color="000000"/>
              <w:left w:val="single" w:sz="4" w:space="0" w:color="000000"/>
              <w:bottom w:val="single" w:sz="4" w:space="0" w:color="000000"/>
              <w:right w:val="single" w:sz="4" w:space="0" w:color="000000"/>
            </w:tcBorders>
            <w:vAlign w:val="center"/>
          </w:tcPr>
          <w:p w14:paraId="0A048733" w14:textId="77777777" w:rsidR="008C0A68" w:rsidRPr="00585C5E" w:rsidRDefault="008C0A68" w:rsidP="00E41AB9">
            <w:pPr>
              <w:ind w:right="58"/>
              <w:jc w:val="center"/>
              <w:rPr>
                <w:sz w:val="20"/>
              </w:rPr>
            </w:pPr>
            <w:r w:rsidRPr="00585C5E">
              <w:rPr>
                <w:b/>
                <w:sz w:val="20"/>
              </w:rPr>
              <w:t xml:space="preserve">Вид дебиторской задолженности </w:t>
            </w:r>
          </w:p>
        </w:tc>
        <w:tc>
          <w:tcPr>
            <w:tcW w:w="5105" w:type="dxa"/>
            <w:tcBorders>
              <w:top w:val="single" w:sz="4" w:space="0" w:color="000000"/>
              <w:left w:val="single" w:sz="4" w:space="0" w:color="000000"/>
              <w:bottom w:val="single" w:sz="4" w:space="0" w:color="000000"/>
              <w:right w:val="single" w:sz="4" w:space="0" w:color="000000"/>
            </w:tcBorders>
            <w:vAlign w:val="center"/>
          </w:tcPr>
          <w:p w14:paraId="6AC358A9" w14:textId="77777777" w:rsidR="008C0A68" w:rsidRPr="00585C5E" w:rsidRDefault="008C0A68" w:rsidP="00E41AB9">
            <w:pPr>
              <w:jc w:val="center"/>
              <w:rPr>
                <w:sz w:val="20"/>
              </w:rPr>
            </w:pPr>
            <w:r w:rsidRPr="00585C5E">
              <w:rPr>
                <w:b/>
                <w:sz w:val="20"/>
              </w:rPr>
              <w:t xml:space="preserve">Условия для признания дебиторской задолженности операционной </w:t>
            </w:r>
          </w:p>
        </w:tc>
        <w:tc>
          <w:tcPr>
            <w:tcW w:w="4755" w:type="dxa"/>
            <w:tcBorders>
              <w:top w:val="single" w:sz="4" w:space="0" w:color="000000"/>
              <w:left w:val="single" w:sz="4" w:space="0" w:color="000000"/>
              <w:bottom w:val="single" w:sz="4" w:space="0" w:color="000000"/>
              <w:right w:val="single" w:sz="4" w:space="0" w:color="000000"/>
            </w:tcBorders>
            <w:vAlign w:val="center"/>
          </w:tcPr>
          <w:p w14:paraId="632D40E1" w14:textId="77777777" w:rsidR="008C0A68" w:rsidRPr="00585C5E" w:rsidRDefault="008C0A68" w:rsidP="00E41AB9">
            <w:pPr>
              <w:spacing w:after="51"/>
              <w:jc w:val="center"/>
              <w:rPr>
                <w:sz w:val="20"/>
              </w:rPr>
            </w:pPr>
            <w:r w:rsidRPr="00585C5E">
              <w:rPr>
                <w:b/>
                <w:sz w:val="20"/>
              </w:rPr>
              <w:t xml:space="preserve">Срок операционного цикла, являющийся нормальной практикой исполнения </w:t>
            </w:r>
          </w:p>
          <w:p w14:paraId="5A1EF0BF" w14:textId="77777777" w:rsidR="008C0A68" w:rsidRPr="00585C5E" w:rsidRDefault="008C0A68" w:rsidP="00E41AB9">
            <w:pPr>
              <w:spacing w:after="25"/>
              <w:ind w:left="17"/>
              <w:rPr>
                <w:sz w:val="20"/>
              </w:rPr>
            </w:pPr>
            <w:r w:rsidRPr="00585C5E">
              <w:rPr>
                <w:b/>
                <w:sz w:val="20"/>
              </w:rPr>
              <w:t xml:space="preserve">обязательств контрагентом (допустимый </w:t>
            </w:r>
          </w:p>
          <w:p w14:paraId="7006B6A3" w14:textId="77777777" w:rsidR="008C0A68" w:rsidRPr="00585C5E" w:rsidRDefault="008C0A68" w:rsidP="00E41AB9">
            <w:pPr>
              <w:jc w:val="center"/>
              <w:rPr>
                <w:sz w:val="20"/>
              </w:rPr>
            </w:pPr>
            <w:r w:rsidRPr="00585C5E">
              <w:rPr>
                <w:b/>
                <w:sz w:val="20"/>
              </w:rPr>
              <w:t xml:space="preserve">срок нарушения условий исполнения обязательств контрагентом) </w:t>
            </w:r>
          </w:p>
        </w:tc>
      </w:tr>
      <w:tr w:rsidR="008C0A68" w:rsidRPr="00585C5E" w14:paraId="5A065028" w14:textId="77777777" w:rsidTr="00E41AB9">
        <w:trPr>
          <w:trHeight w:val="674"/>
        </w:trPr>
        <w:tc>
          <w:tcPr>
            <w:tcW w:w="4929" w:type="dxa"/>
            <w:tcBorders>
              <w:top w:val="single" w:sz="4" w:space="0" w:color="000000"/>
              <w:left w:val="single" w:sz="4" w:space="0" w:color="000000"/>
              <w:bottom w:val="single" w:sz="4" w:space="0" w:color="000000"/>
              <w:right w:val="single" w:sz="4" w:space="0" w:color="000000"/>
            </w:tcBorders>
          </w:tcPr>
          <w:p w14:paraId="358147EB" w14:textId="77777777" w:rsidR="008C0A68" w:rsidRPr="00585C5E" w:rsidRDefault="008C0A68" w:rsidP="00E41AB9">
            <w:pPr>
              <w:rPr>
                <w:sz w:val="20"/>
              </w:rPr>
            </w:pPr>
            <w:r w:rsidRPr="00585C5E">
              <w:rPr>
                <w:sz w:val="20"/>
              </w:rPr>
              <w:t xml:space="preserve">Дебиторская задолженность по выплате НКД по облигациям российских эмитентов </w:t>
            </w:r>
          </w:p>
        </w:tc>
        <w:tc>
          <w:tcPr>
            <w:tcW w:w="5105" w:type="dxa"/>
            <w:tcBorders>
              <w:top w:val="single" w:sz="4" w:space="0" w:color="000000"/>
              <w:left w:val="single" w:sz="4" w:space="0" w:color="000000"/>
              <w:bottom w:val="single" w:sz="4" w:space="0" w:color="000000"/>
              <w:right w:val="single" w:sz="4" w:space="0" w:color="000000"/>
            </w:tcBorders>
            <w:vAlign w:val="center"/>
          </w:tcPr>
          <w:p w14:paraId="3BB0CDE6" w14:textId="77777777" w:rsidR="008C0A68" w:rsidRPr="00585C5E" w:rsidRDefault="008C0A68" w:rsidP="00E41AB9">
            <w:pPr>
              <w:ind w:right="57"/>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tcPr>
          <w:p w14:paraId="08D7CDFE" w14:textId="77777777" w:rsidR="008C0A68" w:rsidRPr="00585C5E" w:rsidRDefault="008C0A68" w:rsidP="00E41AB9">
            <w:pPr>
              <w:jc w:val="center"/>
              <w:rPr>
                <w:sz w:val="20"/>
              </w:rPr>
            </w:pPr>
            <w:r w:rsidRPr="00585C5E">
              <w:rPr>
                <w:sz w:val="20"/>
              </w:rPr>
              <w:t xml:space="preserve">7 рабочих дней с даты признания дебиторской задолженности </w:t>
            </w:r>
          </w:p>
        </w:tc>
      </w:tr>
      <w:tr w:rsidR="008C0A68" w:rsidRPr="00585C5E" w14:paraId="4E970C04" w14:textId="77777777" w:rsidTr="00E41AB9">
        <w:trPr>
          <w:trHeight w:val="838"/>
        </w:trPr>
        <w:tc>
          <w:tcPr>
            <w:tcW w:w="4929" w:type="dxa"/>
            <w:tcBorders>
              <w:top w:val="single" w:sz="4" w:space="0" w:color="000000"/>
              <w:left w:val="single" w:sz="4" w:space="0" w:color="000000"/>
              <w:bottom w:val="single" w:sz="4" w:space="0" w:color="000000"/>
              <w:right w:val="single" w:sz="4" w:space="0" w:color="000000"/>
            </w:tcBorders>
          </w:tcPr>
          <w:p w14:paraId="3F3DE1ED" w14:textId="77777777" w:rsidR="008C0A68" w:rsidRPr="00585C5E" w:rsidRDefault="008C0A68" w:rsidP="00E41AB9">
            <w:pPr>
              <w:ind w:right="50"/>
              <w:rPr>
                <w:sz w:val="20"/>
              </w:rPr>
            </w:pPr>
            <w:r w:rsidRPr="00585C5E">
              <w:rPr>
                <w:sz w:val="20"/>
              </w:rPr>
              <w:t xml:space="preserve">Дебиторская задолженность по выплате номинала облигации (полного/частичного) по облигациям российских эмитентов </w:t>
            </w:r>
          </w:p>
        </w:tc>
        <w:tc>
          <w:tcPr>
            <w:tcW w:w="5105" w:type="dxa"/>
            <w:tcBorders>
              <w:top w:val="single" w:sz="4" w:space="0" w:color="000000"/>
              <w:left w:val="single" w:sz="4" w:space="0" w:color="000000"/>
              <w:bottom w:val="single" w:sz="4" w:space="0" w:color="000000"/>
              <w:right w:val="single" w:sz="4" w:space="0" w:color="000000"/>
            </w:tcBorders>
            <w:vAlign w:val="center"/>
          </w:tcPr>
          <w:p w14:paraId="4411214E" w14:textId="77777777" w:rsidR="008C0A68" w:rsidRPr="00585C5E" w:rsidRDefault="008C0A68" w:rsidP="00E41AB9">
            <w:pPr>
              <w:ind w:right="57"/>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vAlign w:val="center"/>
          </w:tcPr>
          <w:p w14:paraId="60378FDD" w14:textId="77777777" w:rsidR="008C0A68" w:rsidRPr="00585C5E" w:rsidRDefault="008C0A68" w:rsidP="00E41AB9">
            <w:pPr>
              <w:jc w:val="center"/>
              <w:rPr>
                <w:sz w:val="20"/>
              </w:rPr>
            </w:pPr>
            <w:r w:rsidRPr="00585C5E">
              <w:rPr>
                <w:sz w:val="20"/>
              </w:rPr>
              <w:t xml:space="preserve">7 рабочих дней с даты признания дебиторской задолженности </w:t>
            </w:r>
          </w:p>
        </w:tc>
      </w:tr>
      <w:tr w:rsidR="008C0A68" w:rsidRPr="00585C5E" w14:paraId="53F576D0" w14:textId="77777777" w:rsidTr="00E41AB9">
        <w:trPr>
          <w:trHeight w:val="579"/>
        </w:trPr>
        <w:tc>
          <w:tcPr>
            <w:tcW w:w="4929" w:type="dxa"/>
            <w:tcBorders>
              <w:top w:val="single" w:sz="4" w:space="0" w:color="000000"/>
              <w:left w:val="single" w:sz="4" w:space="0" w:color="000000"/>
              <w:bottom w:val="single" w:sz="4" w:space="0" w:color="000000"/>
              <w:right w:val="single" w:sz="4" w:space="0" w:color="000000"/>
            </w:tcBorders>
          </w:tcPr>
          <w:p w14:paraId="13B4E387" w14:textId="77777777" w:rsidR="008C0A68" w:rsidRPr="00585C5E" w:rsidRDefault="008C0A68" w:rsidP="00E41AB9">
            <w:pPr>
              <w:rPr>
                <w:sz w:val="20"/>
              </w:rPr>
            </w:pPr>
            <w:r w:rsidRPr="00585C5E">
              <w:rPr>
                <w:sz w:val="20"/>
              </w:rPr>
              <w:t xml:space="preserve">Дебиторская задолженность по выплате НКД по облигациям иностранных эмитентов </w:t>
            </w:r>
          </w:p>
        </w:tc>
        <w:tc>
          <w:tcPr>
            <w:tcW w:w="5105" w:type="dxa"/>
            <w:tcBorders>
              <w:top w:val="single" w:sz="4" w:space="0" w:color="000000"/>
              <w:left w:val="single" w:sz="4" w:space="0" w:color="000000"/>
              <w:bottom w:val="single" w:sz="4" w:space="0" w:color="000000"/>
              <w:right w:val="single" w:sz="4" w:space="0" w:color="000000"/>
            </w:tcBorders>
            <w:vAlign w:val="center"/>
          </w:tcPr>
          <w:p w14:paraId="1D895F01" w14:textId="77777777" w:rsidR="008C0A68" w:rsidRPr="00585C5E" w:rsidRDefault="008C0A68" w:rsidP="00E41AB9">
            <w:pPr>
              <w:ind w:right="57"/>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tcPr>
          <w:p w14:paraId="3A0E5C3E" w14:textId="77777777" w:rsidR="008C0A68" w:rsidRPr="00585C5E" w:rsidRDefault="008C0A68" w:rsidP="00E41AB9">
            <w:pPr>
              <w:jc w:val="center"/>
              <w:rPr>
                <w:sz w:val="20"/>
              </w:rPr>
            </w:pPr>
            <w:r w:rsidRPr="00585C5E">
              <w:rPr>
                <w:sz w:val="20"/>
              </w:rPr>
              <w:t xml:space="preserve">10 рабочих дней с даты признания дебиторской задолженности </w:t>
            </w:r>
          </w:p>
        </w:tc>
      </w:tr>
      <w:tr w:rsidR="008C0A68" w:rsidRPr="00585C5E" w14:paraId="16C5B4CD" w14:textId="77777777" w:rsidTr="00E41AB9">
        <w:trPr>
          <w:trHeight w:val="845"/>
        </w:trPr>
        <w:tc>
          <w:tcPr>
            <w:tcW w:w="4929" w:type="dxa"/>
            <w:tcBorders>
              <w:top w:val="single" w:sz="4" w:space="0" w:color="000000"/>
              <w:left w:val="single" w:sz="4" w:space="0" w:color="000000"/>
              <w:bottom w:val="single" w:sz="4" w:space="0" w:color="000000"/>
              <w:right w:val="single" w:sz="4" w:space="0" w:color="000000"/>
            </w:tcBorders>
          </w:tcPr>
          <w:p w14:paraId="0ADBDD90" w14:textId="77777777" w:rsidR="008C0A68" w:rsidRPr="00585C5E" w:rsidRDefault="008C0A68" w:rsidP="00E41AB9">
            <w:pPr>
              <w:ind w:right="50"/>
              <w:rPr>
                <w:sz w:val="20"/>
              </w:rPr>
            </w:pPr>
            <w:r w:rsidRPr="00585C5E">
              <w:rPr>
                <w:sz w:val="20"/>
              </w:rPr>
              <w:t xml:space="preserve">Дебиторская задолженность по выплате номинала облигации (полного/частичного) по облигациям иностранных эмитентов </w:t>
            </w:r>
          </w:p>
        </w:tc>
        <w:tc>
          <w:tcPr>
            <w:tcW w:w="5105" w:type="dxa"/>
            <w:tcBorders>
              <w:top w:val="single" w:sz="4" w:space="0" w:color="000000"/>
              <w:left w:val="single" w:sz="4" w:space="0" w:color="000000"/>
              <w:bottom w:val="single" w:sz="4" w:space="0" w:color="000000"/>
              <w:right w:val="single" w:sz="4" w:space="0" w:color="000000"/>
            </w:tcBorders>
            <w:vAlign w:val="center"/>
          </w:tcPr>
          <w:p w14:paraId="2FCF822E" w14:textId="77777777" w:rsidR="008C0A68" w:rsidRPr="00585C5E" w:rsidRDefault="008C0A68" w:rsidP="00E41AB9">
            <w:pPr>
              <w:ind w:right="56"/>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vAlign w:val="center"/>
          </w:tcPr>
          <w:p w14:paraId="46C1E046" w14:textId="77777777" w:rsidR="008C0A68" w:rsidRPr="00585C5E" w:rsidRDefault="008C0A68" w:rsidP="00E41AB9">
            <w:pPr>
              <w:jc w:val="center"/>
              <w:rPr>
                <w:sz w:val="20"/>
              </w:rPr>
            </w:pPr>
            <w:r w:rsidRPr="00585C5E">
              <w:rPr>
                <w:sz w:val="20"/>
              </w:rPr>
              <w:t xml:space="preserve">10 рабочих дней с даты признания дебиторской задолженности </w:t>
            </w:r>
          </w:p>
        </w:tc>
      </w:tr>
      <w:tr w:rsidR="008C0A68" w:rsidRPr="00585C5E" w14:paraId="6CDFEDDA" w14:textId="77777777" w:rsidTr="00E41AB9">
        <w:trPr>
          <w:trHeight w:val="838"/>
        </w:trPr>
        <w:tc>
          <w:tcPr>
            <w:tcW w:w="4929" w:type="dxa"/>
            <w:tcBorders>
              <w:top w:val="single" w:sz="4" w:space="0" w:color="000000"/>
              <w:left w:val="single" w:sz="4" w:space="0" w:color="000000"/>
              <w:bottom w:val="single" w:sz="4" w:space="0" w:color="000000"/>
              <w:right w:val="single" w:sz="4" w:space="0" w:color="000000"/>
            </w:tcBorders>
          </w:tcPr>
          <w:p w14:paraId="39B5C802" w14:textId="7F81234B" w:rsidR="008C0A68" w:rsidRPr="00585C5E" w:rsidRDefault="008C0A68" w:rsidP="00E41AB9">
            <w:pPr>
              <w:rPr>
                <w:sz w:val="20"/>
              </w:rPr>
            </w:pPr>
            <w:r w:rsidRPr="00585C5E">
              <w:rPr>
                <w:sz w:val="20"/>
              </w:rPr>
              <w:t>Дебиторская задолженность по выплате дивидендов по акциям</w:t>
            </w:r>
            <w:r w:rsidR="009F0476">
              <w:rPr>
                <w:sz w:val="20"/>
              </w:rPr>
              <w:t xml:space="preserve"> </w:t>
            </w:r>
            <w:r w:rsidRPr="00585C5E">
              <w:rPr>
                <w:sz w:val="20"/>
              </w:rPr>
              <w:t xml:space="preserve">российских эмитентов, доходам по паям паевых инвестиционных фондов </w:t>
            </w:r>
          </w:p>
        </w:tc>
        <w:tc>
          <w:tcPr>
            <w:tcW w:w="5105" w:type="dxa"/>
            <w:tcBorders>
              <w:top w:val="single" w:sz="4" w:space="0" w:color="000000"/>
              <w:left w:val="single" w:sz="4" w:space="0" w:color="000000"/>
              <w:bottom w:val="single" w:sz="4" w:space="0" w:color="000000"/>
              <w:right w:val="single" w:sz="4" w:space="0" w:color="000000"/>
            </w:tcBorders>
            <w:vAlign w:val="center"/>
          </w:tcPr>
          <w:p w14:paraId="0DC6BCA9" w14:textId="77777777" w:rsidR="008C0A68" w:rsidRPr="00585C5E" w:rsidRDefault="008C0A68" w:rsidP="00E41AB9">
            <w:pPr>
              <w:ind w:right="57"/>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vAlign w:val="center"/>
          </w:tcPr>
          <w:p w14:paraId="1C406142" w14:textId="77777777" w:rsidR="008C0A68" w:rsidRPr="00585C5E" w:rsidRDefault="008C0A68" w:rsidP="00E41AB9">
            <w:pPr>
              <w:jc w:val="center"/>
              <w:rPr>
                <w:sz w:val="20"/>
              </w:rPr>
            </w:pPr>
            <w:r w:rsidRPr="00585C5E">
              <w:rPr>
                <w:sz w:val="20"/>
              </w:rPr>
              <w:t>25 рабочих дней с даты признания дебиторской задолженности</w:t>
            </w:r>
            <w:r w:rsidRPr="00585C5E">
              <w:rPr>
                <w:i/>
                <w:sz w:val="20"/>
              </w:rPr>
              <w:t xml:space="preserve"> </w:t>
            </w:r>
          </w:p>
        </w:tc>
      </w:tr>
      <w:tr w:rsidR="008C0A68" w:rsidRPr="00585C5E" w14:paraId="7DAC5373" w14:textId="77777777" w:rsidTr="00E41AB9">
        <w:trPr>
          <w:trHeight w:val="1114"/>
        </w:trPr>
        <w:tc>
          <w:tcPr>
            <w:tcW w:w="4929" w:type="dxa"/>
            <w:tcBorders>
              <w:top w:val="single" w:sz="4" w:space="0" w:color="000000"/>
              <w:left w:val="single" w:sz="4" w:space="0" w:color="000000"/>
              <w:bottom w:val="single" w:sz="4" w:space="0" w:color="000000"/>
              <w:right w:val="single" w:sz="4" w:space="0" w:color="000000"/>
            </w:tcBorders>
            <w:vAlign w:val="center"/>
          </w:tcPr>
          <w:p w14:paraId="65B4ABF8" w14:textId="5B6E13F1" w:rsidR="008C0A68" w:rsidRPr="00585C5E" w:rsidRDefault="008C0A68" w:rsidP="00E41AB9">
            <w:pPr>
              <w:rPr>
                <w:sz w:val="20"/>
              </w:rPr>
            </w:pPr>
            <w:r w:rsidRPr="00585C5E">
              <w:rPr>
                <w:sz w:val="20"/>
              </w:rPr>
              <w:t>Дебиторская задолженность по выплате дивидендов по акциям</w:t>
            </w:r>
            <w:r w:rsidR="009F0476">
              <w:rPr>
                <w:sz w:val="20"/>
              </w:rPr>
              <w:t xml:space="preserve"> </w:t>
            </w:r>
            <w:r w:rsidRPr="00585C5E">
              <w:rPr>
                <w:sz w:val="20"/>
              </w:rPr>
              <w:t xml:space="preserve">иностранных эмитентов, ETF </w:t>
            </w:r>
          </w:p>
        </w:tc>
        <w:tc>
          <w:tcPr>
            <w:tcW w:w="5105" w:type="dxa"/>
            <w:tcBorders>
              <w:top w:val="single" w:sz="4" w:space="0" w:color="000000"/>
              <w:left w:val="single" w:sz="4" w:space="0" w:color="000000"/>
              <w:bottom w:val="single" w:sz="4" w:space="0" w:color="000000"/>
              <w:right w:val="single" w:sz="4" w:space="0" w:color="000000"/>
            </w:tcBorders>
            <w:vAlign w:val="center"/>
          </w:tcPr>
          <w:p w14:paraId="5F3638F6" w14:textId="77777777" w:rsidR="008C0A68" w:rsidRPr="00585C5E" w:rsidRDefault="008C0A68" w:rsidP="00E41AB9">
            <w:pPr>
              <w:ind w:right="57"/>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tcPr>
          <w:p w14:paraId="3E34167A" w14:textId="77777777" w:rsidR="008C0A68" w:rsidRPr="00585C5E" w:rsidRDefault="008C0A68" w:rsidP="00E41AB9">
            <w:pPr>
              <w:jc w:val="center"/>
              <w:rPr>
                <w:sz w:val="20"/>
              </w:rPr>
            </w:pPr>
            <w:r w:rsidRPr="00585C5E">
              <w:rPr>
                <w:sz w:val="20"/>
              </w:rPr>
              <w:t xml:space="preserve">стандартно - 25 рабочих дней с даты признания дебиторской задолженности </w:t>
            </w:r>
          </w:p>
          <w:p w14:paraId="6F4F0961" w14:textId="77777777" w:rsidR="008C0A68" w:rsidRPr="00585C5E" w:rsidRDefault="008C0A68" w:rsidP="00E41AB9">
            <w:pPr>
              <w:spacing w:after="22"/>
              <w:ind w:left="4"/>
              <w:jc w:val="center"/>
              <w:rPr>
                <w:sz w:val="20"/>
              </w:rPr>
            </w:pPr>
            <w:r w:rsidRPr="00585C5E">
              <w:rPr>
                <w:sz w:val="20"/>
              </w:rPr>
              <w:t xml:space="preserve"> </w:t>
            </w:r>
          </w:p>
          <w:p w14:paraId="4627BDE2" w14:textId="77777777" w:rsidR="008C0A68" w:rsidRPr="00585C5E" w:rsidRDefault="008C0A68" w:rsidP="00E41AB9">
            <w:pPr>
              <w:ind w:left="60"/>
              <w:rPr>
                <w:sz w:val="20"/>
              </w:rPr>
            </w:pPr>
          </w:p>
        </w:tc>
      </w:tr>
      <w:tr w:rsidR="008C0A68" w:rsidRPr="00585C5E" w14:paraId="13EF5441" w14:textId="77777777" w:rsidTr="00E41AB9">
        <w:tblPrEx>
          <w:tblCellMar>
            <w:top w:w="7" w:type="dxa"/>
            <w:right w:w="43" w:type="dxa"/>
          </w:tblCellMar>
        </w:tblPrEx>
        <w:trPr>
          <w:trHeight w:val="562"/>
        </w:trPr>
        <w:tc>
          <w:tcPr>
            <w:tcW w:w="4929" w:type="dxa"/>
            <w:tcBorders>
              <w:top w:val="single" w:sz="4" w:space="0" w:color="000000"/>
              <w:left w:val="single" w:sz="4" w:space="0" w:color="000000"/>
              <w:bottom w:val="single" w:sz="4" w:space="0" w:color="000000"/>
              <w:right w:val="single" w:sz="4" w:space="0" w:color="000000"/>
            </w:tcBorders>
          </w:tcPr>
          <w:p w14:paraId="20E00C3B" w14:textId="77777777" w:rsidR="008C0A68" w:rsidRPr="00585C5E" w:rsidRDefault="008C0A68" w:rsidP="00E41AB9">
            <w:pPr>
              <w:rPr>
                <w:sz w:val="20"/>
              </w:rPr>
            </w:pPr>
            <w:r w:rsidRPr="00585C5E">
              <w:rPr>
                <w:sz w:val="20"/>
              </w:rPr>
              <w:t xml:space="preserve">Дебиторская задолженность по возврату средств со счета брокера /со счета в НКЦ </w:t>
            </w:r>
          </w:p>
        </w:tc>
        <w:tc>
          <w:tcPr>
            <w:tcW w:w="5105" w:type="dxa"/>
            <w:tcBorders>
              <w:top w:val="single" w:sz="4" w:space="0" w:color="000000"/>
              <w:left w:val="single" w:sz="4" w:space="0" w:color="000000"/>
              <w:bottom w:val="single" w:sz="4" w:space="0" w:color="000000"/>
              <w:right w:val="single" w:sz="4" w:space="0" w:color="000000"/>
            </w:tcBorders>
            <w:vAlign w:val="center"/>
          </w:tcPr>
          <w:p w14:paraId="4E4202B5" w14:textId="77777777" w:rsidR="008C0A68" w:rsidRPr="00585C5E" w:rsidRDefault="008C0A68" w:rsidP="00E41AB9">
            <w:pPr>
              <w:ind w:right="68"/>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vAlign w:val="center"/>
          </w:tcPr>
          <w:p w14:paraId="556EBA56" w14:textId="77777777" w:rsidR="008C0A68" w:rsidRPr="00585C5E" w:rsidRDefault="008C0A68" w:rsidP="00E41AB9">
            <w:pPr>
              <w:ind w:right="65"/>
              <w:jc w:val="center"/>
              <w:rPr>
                <w:sz w:val="20"/>
              </w:rPr>
            </w:pPr>
            <w:r w:rsidRPr="00585C5E">
              <w:rPr>
                <w:sz w:val="20"/>
              </w:rPr>
              <w:t xml:space="preserve">3 рабочих дня </w:t>
            </w:r>
          </w:p>
        </w:tc>
      </w:tr>
      <w:tr w:rsidR="008C0A68" w:rsidRPr="00585C5E" w14:paraId="5DFF5E4D" w14:textId="77777777" w:rsidTr="00E41AB9">
        <w:tblPrEx>
          <w:tblCellMar>
            <w:top w:w="7" w:type="dxa"/>
            <w:right w:w="43" w:type="dxa"/>
          </w:tblCellMar>
        </w:tblPrEx>
        <w:trPr>
          <w:trHeight w:val="838"/>
        </w:trPr>
        <w:tc>
          <w:tcPr>
            <w:tcW w:w="4929" w:type="dxa"/>
            <w:tcBorders>
              <w:top w:val="single" w:sz="4" w:space="0" w:color="000000"/>
              <w:left w:val="single" w:sz="4" w:space="0" w:color="000000"/>
              <w:bottom w:val="single" w:sz="4" w:space="0" w:color="000000"/>
              <w:right w:val="single" w:sz="4" w:space="0" w:color="000000"/>
            </w:tcBorders>
          </w:tcPr>
          <w:p w14:paraId="5F800160" w14:textId="77777777" w:rsidR="008C0A68" w:rsidRPr="00585C5E" w:rsidRDefault="008C0A68" w:rsidP="00E41AB9">
            <w:pPr>
              <w:rPr>
                <w:sz w:val="20"/>
              </w:rPr>
            </w:pPr>
            <w:r w:rsidRPr="00585C5E">
              <w:rPr>
                <w:sz w:val="20"/>
              </w:rPr>
              <w:t xml:space="preserve">Дебиторская задолженность, возникшая в результате перевода денежных средств (деньги в пути) </w:t>
            </w:r>
          </w:p>
        </w:tc>
        <w:tc>
          <w:tcPr>
            <w:tcW w:w="5105" w:type="dxa"/>
            <w:tcBorders>
              <w:top w:val="single" w:sz="4" w:space="0" w:color="000000"/>
              <w:left w:val="single" w:sz="4" w:space="0" w:color="000000"/>
              <w:bottom w:val="single" w:sz="4" w:space="0" w:color="000000"/>
              <w:right w:val="single" w:sz="4" w:space="0" w:color="000000"/>
            </w:tcBorders>
            <w:vAlign w:val="center"/>
          </w:tcPr>
          <w:p w14:paraId="4CC1AFD1" w14:textId="77777777" w:rsidR="008C0A68" w:rsidRPr="00585C5E" w:rsidRDefault="008C0A68" w:rsidP="00E41AB9">
            <w:pPr>
              <w:ind w:right="68"/>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vAlign w:val="center"/>
          </w:tcPr>
          <w:p w14:paraId="3D82CD00" w14:textId="77777777" w:rsidR="008C0A68" w:rsidRPr="00585C5E" w:rsidRDefault="008C0A68" w:rsidP="00E41AB9">
            <w:pPr>
              <w:ind w:right="65"/>
              <w:jc w:val="center"/>
              <w:rPr>
                <w:sz w:val="20"/>
              </w:rPr>
            </w:pPr>
            <w:r w:rsidRPr="00585C5E">
              <w:rPr>
                <w:sz w:val="20"/>
              </w:rPr>
              <w:t xml:space="preserve">3 рабочих дня </w:t>
            </w:r>
          </w:p>
        </w:tc>
      </w:tr>
      <w:tr w:rsidR="008C0A68" w:rsidRPr="00585C5E" w14:paraId="3A2AA6F3" w14:textId="77777777" w:rsidTr="00E41AB9">
        <w:tblPrEx>
          <w:tblCellMar>
            <w:top w:w="7" w:type="dxa"/>
            <w:right w:w="43" w:type="dxa"/>
          </w:tblCellMar>
        </w:tblPrEx>
        <w:trPr>
          <w:trHeight w:val="955"/>
        </w:trPr>
        <w:tc>
          <w:tcPr>
            <w:tcW w:w="4929" w:type="dxa"/>
            <w:tcBorders>
              <w:top w:val="single" w:sz="4" w:space="0" w:color="000000"/>
              <w:left w:val="single" w:sz="4" w:space="0" w:color="000000"/>
              <w:bottom w:val="single" w:sz="4" w:space="0" w:color="000000"/>
              <w:right w:val="single" w:sz="4" w:space="0" w:color="000000"/>
            </w:tcBorders>
            <w:vAlign w:val="center"/>
          </w:tcPr>
          <w:p w14:paraId="28D19FFE" w14:textId="18B54EB3" w:rsidR="008C0A68" w:rsidRPr="00585C5E" w:rsidRDefault="008C0A68" w:rsidP="00E41AB9">
            <w:pPr>
              <w:rPr>
                <w:sz w:val="20"/>
              </w:rPr>
            </w:pPr>
          </w:p>
        </w:tc>
        <w:tc>
          <w:tcPr>
            <w:tcW w:w="5105" w:type="dxa"/>
            <w:tcBorders>
              <w:top w:val="single" w:sz="4" w:space="0" w:color="000000"/>
              <w:left w:val="single" w:sz="4" w:space="0" w:color="000000"/>
              <w:bottom w:val="single" w:sz="4" w:space="0" w:color="000000"/>
              <w:right w:val="single" w:sz="4" w:space="0" w:color="000000"/>
            </w:tcBorders>
          </w:tcPr>
          <w:p w14:paraId="78B2C0D2" w14:textId="3EEDBDCA" w:rsidR="008C0A68" w:rsidRPr="00585C5E" w:rsidRDefault="008C0A68" w:rsidP="00E41AB9">
            <w:pPr>
              <w:ind w:left="2" w:right="119" w:firstLine="48"/>
              <w:rPr>
                <w:sz w:val="20"/>
              </w:rPr>
            </w:pPr>
          </w:p>
        </w:tc>
        <w:tc>
          <w:tcPr>
            <w:tcW w:w="4755" w:type="dxa"/>
            <w:tcBorders>
              <w:top w:val="single" w:sz="4" w:space="0" w:color="000000"/>
              <w:left w:val="single" w:sz="4" w:space="0" w:color="000000"/>
              <w:bottom w:val="single" w:sz="4" w:space="0" w:color="000000"/>
              <w:right w:val="single" w:sz="4" w:space="0" w:color="000000"/>
            </w:tcBorders>
            <w:vAlign w:val="center"/>
          </w:tcPr>
          <w:p w14:paraId="0DD186BD" w14:textId="5271CE86" w:rsidR="008C0A68" w:rsidRPr="00585C5E" w:rsidRDefault="008C0A68" w:rsidP="00E41AB9">
            <w:pPr>
              <w:ind w:right="68"/>
              <w:jc w:val="center"/>
              <w:rPr>
                <w:sz w:val="20"/>
              </w:rPr>
            </w:pPr>
          </w:p>
        </w:tc>
      </w:tr>
      <w:tr w:rsidR="008C0A68" w:rsidRPr="00585C5E" w14:paraId="1AF76355" w14:textId="77777777" w:rsidTr="00E41AB9">
        <w:tblPrEx>
          <w:tblCellMar>
            <w:top w:w="7" w:type="dxa"/>
            <w:right w:w="43" w:type="dxa"/>
          </w:tblCellMar>
        </w:tblPrEx>
        <w:trPr>
          <w:trHeight w:val="982"/>
        </w:trPr>
        <w:tc>
          <w:tcPr>
            <w:tcW w:w="4929" w:type="dxa"/>
            <w:tcBorders>
              <w:top w:val="single" w:sz="4" w:space="0" w:color="000000"/>
              <w:left w:val="single" w:sz="4" w:space="0" w:color="000000"/>
              <w:bottom w:val="single" w:sz="4" w:space="0" w:color="000000"/>
              <w:right w:val="single" w:sz="4" w:space="0" w:color="000000"/>
            </w:tcBorders>
            <w:vAlign w:val="center"/>
          </w:tcPr>
          <w:p w14:paraId="11538B27" w14:textId="77777777" w:rsidR="008C0A68" w:rsidRPr="00585C5E" w:rsidRDefault="008C0A68" w:rsidP="00E41AB9">
            <w:pPr>
              <w:rPr>
                <w:sz w:val="20"/>
              </w:rPr>
            </w:pPr>
            <w:r w:rsidRPr="00585C5E">
              <w:rPr>
                <w:sz w:val="20"/>
              </w:rPr>
              <w:t xml:space="preserve">Дебиторская задолженность по начисленным  процентам на остаток денежных средств на  расчетном счете </w:t>
            </w:r>
          </w:p>
        </w:tc>
        <w:tc>
          <w:tcPr>
            <w:tcW w:w="5105" w:type="dxa"/>
            <w:tcBorders>
              <w:top w:val="single" w:sz="4" w:space="0" w:color="000000"/>
              <w:left w:val="single" w:sz="4" w:space="0" w:color="000000"/>
              <w:bottom w:val="single" w:sz="4" w:space="0" w:color="000000"/>
              <w:right w:val="single" w:sz="4" w:space="0" w:color="000000"/>
            </w:tcBorders>
            <w:vAlign w:val="center"/>
          </w:tcPr>
          <w:p w14:paraId="4D0E0699" w14:textId="77777777" w:rsidR="008C0A68" w:rsidRPr="00585C5E" w:rsidRDefault="008C0A68" w:rsidP="00E41AB9">
            <w:pPr>
              <w:ind w:right="68"/>
              <w:jc w:val="center"/>
              <w:rPr>
                <w:sz w:val="20"/>
              </w:rPr>
            </w:pPr>
            <w:r w:rsidRPr="00585C5E">
              <w:rPr>
                <w:sz w:val="20"/>
              </w:rPr>
              <w:t xml:space="preserve">Отсутствие признаков обесценения </w:t>
            </w:r>
          </w:p>
        </w:tc>
        <w:tc>
          <w:tcPr>
            <w:tcW w:w="4755" w:type="dxa"/>
            <w:tcBorders>
              <w:top w:val="single" w:sz="4" w:space="0" w:color="000000"/>
              <w:left w:val="single" w:sz="4" w:space="0" w:color="000000"/>
              <w:bottom w:val="single" w:sz="4" w:space="0" w:color="000000"/>
              <w:right w:val="single" w:sz="4" w:space="0" w:color="000000"/>
            </w:tcBorders>
            <w:vAlign w:val="center"/>
          </w:tcPr>
          <w:p w14:paraId="2E1FF499" w14:textId="77777777" w:rsidR="008C0A68" w:rsidRPr="00585C5E" w:rsidRDefault="008C0A68" w:rsidP="00E41AB9">
            <w:pPr>
              <w:jc w:val="center"/>
              <w:rPr>
                <w:sz w:val="20"/>
              </w:rPr>
            </w:pPr>
            <w:r w:rsidRPr="00585C5E">
              <w:rPr>
                <w:sz w:val="20"/>
              </w:rPr>
              <w:t xml:space="preserve">обесценение производится с первого дня просрочки обязательств банком </w:t>
            </w:r>
          </w:p>
        </w:tc>
      </w:tr>
      <w:tr w:rsidR="008C0A68" w:rsidRPr="00585C5E" w14:paraId="6B917E17" w14:textId="77777777" w:rsidTr="00E41AB9">
        <w:tblPrEx>
          <w:tblCellMar>
            <w:top w:w="7" w:type="dxa"/>
            <w:right w:w="43" w:type="dxa"/>
          </w:tblCellMar>
        </w:tblPrEx>
        <w:trPr>
          <w:trHeight w:val="1110"/>
        </w:trPr>
        <w:tc>
          <w:tcPr>
            <w:tcW w:w="4929" w:type="dxa"/>
            <w:tcBorders>
              <w:top w:val="single" w:sz="4" w:space="0" w:color="000000"/>
              <w:left w:val="single" w:sz="4" w:space="0" w:color="000000"/>
              <w:bottom w:val="single" w:sz="4" w:space="0" w:color="000000"/>
              <w:right w:val="single" w:sz="4" w:space="0" w:color="000000"/>
            </w:tcBorders>
            <w:vAlign w:val="center"/>
          </w:tcPr>
          <w:p w14:paraId="1FAA6DE0" w14:textId="77777777" w:rsidR="008C0A68" w:rsidRPr="00585C5E" w:rsidRDefault="008C0A68" w:rsidP="00E41AB9">
            <w:pPr>
              <w:rPr>
                <w:sz w:val="20"/>
              </w:rPr>
            </w:pPr>
            <w:r w:rsidRPr="00585C5E">
              <w:rPr>
                <w:sz w:val="20"/>
              </w:rPr>
              <w:t xml:space="preserve">Дебиторская задолженность по сделкам (по которым наступила наиболее ранняя дата расчетов) </w:t>
            </w:r>
          </w:p>
        </w:tc>
        <w:tc>
          <w:tcPr>
            <w:tcW w:w="5105" w:type="dxa"/>
            <w:tcBorders>
              <w:top w:val="single" w:sz="4" w:space="0" w:color="000000"/>
              <w:left w:val="single" w:sz="4" w:space="0" w:color="000000"/>
              <w:bottom w:val="single" w:sz="4" w:space="0" w:color="000000"/>
              <w:right w:val="single" w:sz="4" w:space="0" w:color="000000"/>
            </w:tcBorders>
          </w:tcPr>
          <w:p w14:paraId="6845F47A" w14:textId="77777777" w:rsidR="008C0A68" w:rsidRPr="00585C5E" w:rsidRDefault="008C0A68" w:rsidP="00E41AB9">
            <w:pPr>
              <w:ind w:left="2"/>
              <w:rPr>
                <w:sz w:val="20"/>
              </w:rPr>
            </w:pPr>
            <w:r w:rsidRPr="00585C5E">
              <w:rPr>
                <w:sz w:val="20"/>
              </w:rPr>
              <w:t xml:space="preserve">Отсутствие признаков обесценения; </w:t>
            </w:r>
          </w:p>
          <w:p w14:paraId="5EC0DECF" w14:textId="77777777" w:rsidR="008C0A68" w:rsidRPr="00585C5E" w:rsidRDefault="008C0A68" w:rsidP="00E41AB9">
            <w:pPr>
              <w:ind w:left="2"/>
              <w:rPr>
                <w:sz w:val="20"/>
              </w:rPr>
            </w:pPr>
            <w:r w:rsidRPr="00585C5E">
              <w:rPr>
                <w:sz w:val="20"/>
              </w:rPr>
              <w:t xml:space="preserve">Срок погашения дебиторской задолженности не более 15 рабочих дней с даты ее возникновения (с учетом срока пролонгации и перезаключений договоров). </w:t>
            </w:r>
          </w:p>
        </w:tc>
        <w:tc>
          <w:tcPr>
            <w:tcW w:w="4755" w:type="dxa"/>
            <w:tcBorders>
              <w:top w:val="single" w:sz="4" w:space="0" w:color="000000"/>
              <w:left w:val="single" w:sz="4" w:space="0" w:color="000000"/>
              <w:bottom w:val="single" w:sz="4" w:space="0" w:color="000000"/>
              <w:right w:val="single" w:sz="4" w:space="0" w:color="000000"/>
            </w:tcBorders>
            <w:vAlign w:val="center"/>
          </w:tcPr>
          <w:p w14:paraId="28309A05" w14:textId="77777777" w:rsidR="008C0A68" w:rsidRPr="00585C5E" w:rsidRDefault="008C0A68" w:rsidP="00E41AB9">
            <w:pPr>
              <w:ind w:right="65"/>
              <w:jc w:val="center"/>
              <w:rPr>
                <w:sz w:val="20"/>
              </w:rPr>
            </w:pPr>
            <w:r w:rsidRPr="00585C5E">
              <w:rPr>
                <w:sz w:val="20"/>
              </w:rPr>
              <w:t xml:space="preserve">3 рабочих дня </w:t>
            </w:r>
          </w:p>
        </w:tc>
      </w:tr>
      <w:tr w:rsidR="008C0A68" w:rsidRPr="00585C5E" w14:paraId="3CD8A1AC" w14:textId="77777777" w:rsidTr="00E41AB9">
        <w:tblPrEx>
          <w:tblCellMar>
            <w:top w:w="7" w:type="dxa"/>
            <w:right w:w="43" w:type="dxa"/>
          </w:tblCellMar>
        </w:tblPrEx>
        <w:trPr>
          <w:trHeight w:val="838"/>
        </w:trPr>
        <w:tc>
          <w:tcPr>
            <w:tcW w:w="4929" w:type="dxa"/>
            <w:tcBorders>
              <w:top w:val="single" w:sz="4" w:space="0" w:color="000000"/>
              <w:left w:val="single" w:sz="4" w:space="0" w:color="000000"/>
              <w:bottom w:val="single" w:sz="4" w:space="0" w:color="000000"/>
              <w:right w:val="single" w:sz="4" w:space="0" w:color="000000"/>
            </w:tcBorders>
            <w:vAlign w:val="center"/>
          </w:tcPr>
          <w:p w14:paraId="479F351C" w14:textId="77777777" w:rsidR="008C0A68" w:rsidRPr="00585C5E" w:rsidRDefault="008C0A68" w:rsidP="00E41AB9">
            <w:pPr>
              <w:rPr>
                <w:sz w:val="20"/>
              </w:rPr>
            </w:pPr>
            <w:r w:rsidRPr="00585C5E">
              <w:rPr>
                <w:sz w:val="20"/>
                <w:u w:val="single" w:color="000000"/>
              </w:rPr>
              <w:t>Авансы, выданные по сделкам за счет</w:t>
            </w:r>
            <w:r w:rsidRPr="00585C5E">
              <w:rPr>
                <w:sz w:val="20"/>
              </w:rPr>
              <w:t xml:space="preserve"> </w:t>
            </w:r>
            <w:r w:rsidRPr="00585C5E">
              <w:rPr>
                <w:sz w:val="20"/>
                <w:u w:val="single" w:color="000000"/>
              </w:rPr>
              <w:t>имущества Фонда</w:t>
            </w:r>
            <w:r w:rsidRPr="00585C5E">
              <w:rPr>
                <w:sz w:val="20"/>
              </w:rPr>
              <w:t xml:space="preserve"> </w:t>
            </w:r>
          </w:p>
        </w:tc>
        <w:tc>
          <w:tcPr>
            <w:tcW w:w="5105" w:type="dxa"/>
            <w:tcBorders>
              <w:top w:val="single" w:sz="4" w:space="0" w:color="000000"/>
              <w:left w:val="single" w:sz="4" w:space="0" w:color="000000"/>
              <w:bottom w:val="single" w:sz="4" w:space="0" w:color="000000"/>
              <w:right w:val="single" w:sz="4" w:space="0" w:color="000000"/>
            </w:tcBorders>
          </w:tcPr>
          <w:p w14:paraId="41C55DA5" w14:textId="77777777" w:rsidR="008C0A68" w:rsidRPr="00585C5E" w:rsidRDefault="008C0A68" w:rsidP="00E41AB9">
            <w:pPr>
              <w:ind w:left="2"/>
              <w:rPr>
                <w:sz w:val="20"/>
              </w:rPr>
            </w:pPr>
            <w:r w:rsidRPr="00585C5E">
              <w:rPr>
                <w:sz w:val="20"/>
              </w:rPr>
              <w:t xml:space="preserve">Отсутствие признаков обесценения; </w:t>
            </w:r>
          </w:p>
          <w:p w14:paraId="4BA6610D" w14:textId="77777777" w:rsidR="008C0A68" w:rsidRPr="00585C5E" w:rsidRDefault="008C0A68" w:rsidP="00E41AB9">
            <w:pPr>
              <w:ind w:left="2"/>
              <w:rPr>
                <w:sz w:val="20"/>
              </w:rPr>
            </w:pPr>
            <w:r w:rsidRPr="00585C5E">
              <w:rPr>
                <w:sz w:val="20"/>
              </w:rPr>
              <w:t>Срок погашения дебиторской задолженности не более 15 рабочих дней с даты ее возникновения (с учетом срока пролонгации и перезаключений договоров).</w:t>
            </w:r>
          </w:p>
        </w:tc>
        <w:tc>
          <w:tcPr>
            <w:tcW w:w="4755" w:type="dxa"/>
            <w:tcBorders>
              <w:top w:val="single" w:sz="4" w:space="0" w:color="000000"/>
              <w:left w:val="single" w:sz="4" w:space="0" w:color="000000"/>
              <w:bottom w:val="single" w:sz="4" w:space="0" w:color="000000"/>
              <w:right w:val="single" w:sz="4" w:space="0" w:color="000000"/>
            </w:tcBorders>
            <w:vAlign w:val="center"/>
          </w:tcPr>
          <w:p w14:paraId="48E60EF5" w14:textId="77777777" w:rsidR="008C0A68" w:rsidRPr="00585C5E" w:rsidRDefault="008C0A68" w:rsidP="00E41AB9">
            <w:pPr>
              <w:ind w:right="65"/>
              <w:jc w:val="center"/>
              <w:rPr>
                <w:sz w:val="20"/>
              </w:rPr>
            </w:pPr>
            <w:r w:rsidRPr="00585C5E">
              <w:rPr>
                <w:sz w:val="20"/>
              </w:rPr>
              <w:t xml:space="preserve">3 рабочих дня </w:t>
            </w:r>
          </w:p>
        </w:tc>
      </w:tr>
    </w:tbl>
    <w:p w14:paraId="5DBF2710" w14:textId="77777777" w:rsidR="008C0A68" w:rsidRDefault="008C0A68" w:rsidP="008C0A68">
      <w:pPr>
        <w:spacing w:after="76"/>
        <w:ind w:left="701" w:right="45" w:hanging="356"/>
        <w:jc w:val="both"/>
        <w:rPr>
          <w:color w:val="000000"/>
          <w:szCs w:val="22"/>
        </w:rPr>
        <w:sectPr w:rsidR="008C0A68" w:rsidSect="0055357F">
          <w:pgSz w:w="16838" w:h="11906" w:orient="landscape"/>
          <w:pgMar w:top="851" w:right="851" w:bottom="1758" w:left="1134" w:header="709" w:footer="709" w:gutter="0"/>
          <w:cols w:space="708"/>
          <w:docGrid w:linePitch="360"/>
        </w:sectPr>
      </w:pPr>
    </w:p>
    <w:p w14:paraId="094A7A04" w14:textId="77777777" w:rsidR="008C0A68" w:rsidRPr="00AC6698" w:rsidRDefault="008C0A68" w:rsidP="008C0A68">
      <w:pPr>
        <w:spacing w:after="76"/>
        <w:ind w:left="701" w:right="45" w:hanging="356"/>
        <w:jc w:val="both"/>
        <w:rPr>
          <w:color w:val="000000"/>
          <w:szCs w:val="22"/>
        </w:rPr>
      </w:pPr>
      <w:r w:rsidRPr="00AC6698">
        <w:rPr>
          <w:color w:val="000000"/>
          <w:szCs w:val="22"/>
        </w:rPr>
        <w:lastRenderedPageBreak/>
        <w:t>1.</w:t>
      </w:r>
      <w:r w:rsidRPr="00AC6698">
        <w:rPr>
          <w:rFonts w:ascii="Arial" w:eastAsia="Arial" w:hAnsi="Arial" w:cs="Arial"/>
          <w:color w:val="000000"/>
          <w:szCs w:val="22"/>
        </w:rPr>
        <w:t xml:space="preserve"> </w:t>
      </w:r>
      <w:r w:rsidRPr="00AC6698">
        <w:rPr>
          <w:color w:val="000000"/>
          <w:szCs w:val="22"/>
        </w:rPr>
        <w:t xml:space="preserve">Особые условия, применяемые для обесценения дебиторской задолженности, не указанной в таблице «Виды, условия и сроки признания операционной дебиторской задолженности: </w:t>
      </w:r>
    </w:p>
    <w:p w14:paraId="09379FD5" w14:textId="77777777" w:rsidR="008C0A68" w:rsidRPr="00AC6698" w:rsidRDefault="008C0A68" w:rsidP="004872F3">
      <w:pPr>
        <w:numPr>
          <w:ilvl w:val="0"/>
          <w:numId w:val="14"/>
        </w:numPr>
        <w:spacing w:after="76"/>
        <w:ind w:right="45" w:hanging="10"/>
        <w:jc w:val="both"/>
        <w:rPr>
          <w:color w:val="000000"/>
          <w:szCs w:val="22"/>
        </w:rPr>
      </w:pPr>
      <w:r w:rsidRPr="00AC6698">
        <w:rPr>
          <w:color w:val="000000"/>
          <w:szCs w:val="22"/>
        </w:rPr>
        <w:t xml:space="preserve">дебиторская задолженность по авансам, выданным на оплату услуг специализированного депозитария, аудиторской организации, оценщику, бирже и лицу, осуществляющему ведение реестра владельцев инвестиционных паев ПИФ  и на оплату расходов, связанных с доверительным управлением, оценивается по номиналу и обесценивается по истечении 25 рабочих дней с даты окончания срока оказания услуг, установленной условиями договора; </w:t>
      </w:r>
    </w:p>
    <w:p w14:paraId="35FB6095" w14:textId="77777777" w:rsidR="008C0A68" w:rsidRPr="00AC6698" w:rsidRDefault="008C0A68" w:rsidP="004872F3">
      <w:pPr>
        <w:numPr>
          <w:ilvl w:val="0"/>
          <w:numId w:val="14"/>
        </w:numPr>
        <w:spacing w:after="19"/>
        <w:ind w:right="45" w:hanging="10"/>
        <w:jc w:val="both"/>
        <w:rPr>
          <w:color w:val="000000"/>
          <w:szCs w:val="22"/>
        </w:rPr>
      </w:pPr>
      <w:r w:rsidRPr="00AC6698">
        <w:rPr>
          <w:color w:val="000000"/>
          <w:szCs w:val="22"/>
        </w:rPr>
        <w:t xml:space="preserve">дебиторская задолженность Управляющей компании ПИФ, возникшая в результате нарушения прав владельцев инвестиционных </w:t>
      </w:r>
    </w:p>
    <w:p w14:paraId="07B5026F" w14:textId="77777777" w:rsidR="008C0A68" w:rsidRPr="00AC6698" w:rsidRDefault="008C0A68" w:rsidP="008C0A68">
      <w:pPr>
        <w:spacing w:after="16"/>
        <w:ind w:left="730" w:right="45" w:hanging="10"/>
        <w:jc w:val="both"/>
        <w:rPr>
          <w:color w:val="000000"/>
          <w:szCs w:val="22"/>
        </w:rPr>
      </w:pPr>
      <w:r w:rsidRPr="00AC6698">
        <w:rPr>
          <w:color w:val="000000"/>
          <w:szCs w:val="22"/>
        </w:rPr>
        <w:t xml:space="preserve">паев, оценивается по номиналу и обесценивается по истечении 25 рабочих дней с даты ее возникновения. </w:t>
      </w:r>
    </w:p>
    <w:p w14:paraId="462B08AF" w14:textId="77777777" w:rsidR="008C0A68" w:rsidRPr="00AC6698" w:rsidRDefault="008C0A68" w:rsidP="008C0A68">
      <w:pPr>
        <w:spacing w:after="68"/>
        <w:ind w:left="720"/>
        <w:rPr>
          <w:color w:val="000000"/>
          <w:szCs w:val="22"/>
        </w:rPr>
      </w:pPr>
      <w:r w:rsidRPr="00AC6698">
        <w:rPr>
          <w:color w:val="000000"/>
          <w:szCs w:val="22"/>
        </w:rPr>
        <w:t xml:space="preserve"> </w:t>
      </w:r>
    </w:p>
    <w:p w14:paraId="7BF8E96D" w14:textId="77777777" w:rsidR="008C0A68" w:rsidRPr="00AC6698" w:rsidRDefault="008C0A68" w:rsidP="008C0A68">
      <w:pPr>
        <w:spacing w:after="76"/>
        <w:ind w:left="355" w:right="45" w:hanging="10"/>
        <w:jc w:val="both"/>
        <w:rPr>
          <w:color w:val="000000"/>
          <w:szCs w:val="22"/>
        </w:rPr>
      </w:pPr>
      <w:r w:rsidRPr="00AC6698">
        <w:rPr>
          <w:color w:val="000000"/>
          <w:szCs w:val="22"/>
        </w:rPr>
        <w:t>2.</w:t>
      </w:r>
      <w:r w:rsidRPr="00AC6698">
        <w:rPr>
          <w:rFonts w:ascii="Arial" w:eastAsia="Arial" w:hAnsi="Arial" w:cs="Arial"/>
          <w:color w:val="000000"/>
          <w:szCs w:val="22"/>
        </w:rPr>
        <w:t xml:space="preserve"> </w:t>
      </w:r>
      <w:r w:rsidRPr="00AC6698">
        <w:rPr>
          <w:color w:val="000000"/>
          <w:szCs w:val="22"/>
        </w:rPr>
        <w:t xml:space="preserve">Обесценение дебиторской задолженности, указанной в п.1 не производится при соблюдении следующих условий:  </w:t>
      </w:r>
    </w:p>
    <w:p w14:paraId="17200238" w14:textId="77777777" w:rsidR="008C0A68" w:rsidRPr="00AC6698" w:rsidRDefault="008C0A68" w:rsidP="004872F3">
      <w:pPr>
        <w:numPr>
          <w:ilvl w:val="0"/>
          <w:numId w:val="15"/>
        </w:numPr>
        <w:spacing w:after="76"/>
        <w:ind w:right="448" w:hanging="10"/>
        <w:jc w:val="both"/>
        <w:rPr>
          <w:color w:val="000000"/>
          <w:szCs w:val="22"/>
        </w:rPr>
      </w:pPr>
      <w:r w:rsidRPr="00AC6698">
        <w:rPr>
          <w:color w:val="000000"/>
          <w:szCs w:val="22"/>
        </w:rPr>
        <w:t xml:space="preserve">наличие обоснованного экспертного (мотивированного) суждения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w:t>
      </w:r>
    </w:p>
    <w:p w14:paraId="4201EF7E" w14:textId="77777777" w:rsidR="008C0A68" w:rsidRPr="00AC6698" w:rsidRDefault="008C0A68" w:rsidP="004872F3">
      <w:pPr>
        <w:numPr>
          <w:ilvl w:val="0"/>
          <w:numId w:val="15"/>
        </w:numPr>
        <w:spacing w:after="219"/>
        <w:ind w:right="448" w:hanging="10"/>
        <w:jc w:val="both"/>
        <w:rPr>
          <w:color w:val="000000"/>
          <w:szCs w:val="22"/>
        </w:rPr>
      </w:pPr>
      <w:r w:rsidRPr="00AC6698">
        <w:rPr>
          <w:color w:val="000000"/>
          <w:szCs w:val="22"/>
        </w:rPr>
        <w:t xml:space="preserve">наличие документального подтверждения от контрагента сроков погашения задолженности / оказания услуг ПИФ. </w:t>
      </w:r>
    </w:p>
    <w:p w14:paraId="5F4D83BF" w14:textId="77777777" w:rsidR="008C0A68" w:rsidRDefault="008C0A68" w:rsidP="008C0A68">
      <w:pPr>
        <w:spacing w:after="215"/>
        <w:ind w:left="-5" w:hanging="10"/>
        <w:rPr>
          <w:color w:val="000000"/>
          <w:szCs w:val="22"/>
        </w:rPr>
      </w:pPr>
      <w:r w:rsidRPr="00AC6698">
        <w:rPr>
          <w:color w:val="000000"/>
          <w:szCs w:val="22"/>
        </w:rPr>
        <w:t xml:space="preserve">Дебиторская задолженность по возмещению налогов из бюджета не обесценивается не зависимо от срочности ее погашения. В случае получения от налогового органа решения об отказе в осуществлении зачета (возврата) сумм излишне уплаченного налога, происходит прекращение признания в ПИФ дебиторской задолженности по возмещению суммы налога, в размере, указанном в таком решении. </w:t>
      </w:r>
    </w:p>
    <w:p w14:paraId="3BC42176" w14:textId="77777777" w:rsidR="008C0A68" w:rsidRDefault="008C0A68" w:rsidP="008C0A68">
      <w:pPr>
        <w:pStyle w:val="affd"/>
        <w:jc w:val="left"/>
        <w:rPr>
          <w:b w:val="0"/>
        </w:rPr>
        <w:sectPr w:rsidR="008C0A68" w:rsidSect="00CC3A0D">
          <w:pgSz w:w="11906" w:h="16838"/>
          <w:pgMar w:top="851" w:right="1758" w:bottom="1134" w:left="851" w:header="709" w:footer="709" w:gutter="0"/>
          <w:cols w:space="708"/>
          <w:docGrid w:linePitch="360"/>
        </w:sectPr>
      </w:pPr>
      <w:r>
        <w:rPr>
          <w:b w:val="0"/>
        </w:rPr>
        <w:t xml:space="preserve">                                 </w:t>
      </w:r>
    </w:p>
    <w:p w14:paraId="6E4474FF" w14:textId="77777777" w:rsidR="008C0A68" w:rsidRDefault="008C0A68" w:rsidP="008C0A68">
      <w:pPr>
        <w:pageBreakBefore/>
        <w:tabs>
          <w:tab w:val="left" w:pos="4820"/>
        </w:tabs>
        <w:spacing w:line="360" w:lineRule="auto"/>
        <w:ind w:left="4820"/>
        <w:jc w:val="both"/>
        <w:rPr>
          <w:b/>
          <w:szCs w:val="24"/>
        </w:rPr>
      </w:pPr>
      <w:r>
        <w:rPr>
          <w:b/>
          <w:szCs w:val="24"/>
        </w:rPr>
        <w:lastRenderedPageBreak/>
        <w:t>Приложение 3. Методика определения справедливой стоимости активов с учетом кредитного риска</w:t>
      </w:r>
    </w:p>
    <w:p w14:paraId="53493F44" w14:textId="77777777" w:rsidR="008C0A68" w:rsidRDefault="008C0A68" w:rsidP="004872F3">
      <w:pPr>
        <w:keepLines/>
        <w:numPr>
          <w:ilvl w:val="0"/>
          <w:numId w:val="29"/>
        </w:numPr>
        <w:spacing w:before="120" w:after="120" w:line="360" w:lineRule="auto"/>
        <w:ind w:left="0" w:firstLine="0"/>
        <w:jc w:val="center"/>
        <w:rPr>
          <w:b/>
          <w:szCs w:val="24"/>
        </w:rPr>
      </w:pPr>
      <w:r>
        <w:rPr>
          <w:b/>
          <w:szCs w:val="24"/>
        </w:rPr>
        <w:t>Цели и определения</w:t>
      </w:r>
    </w:p>
    <w:p w14:paraId="3C0CEB72" w14:textId="77777777" w:rsidR="008C0A68" w:rsidRDefault="008C0A68" w:rsidP="008C0A68">
      <w:pPr>
        <w:spacing w:line="360" w:lineRule="auto"/>
        <w:ind w:firstLine="709"/>
        <w:jc w:val="both"/>
        <w:rPr>
          <w:szCs w:val="24"/>
        </w:rPr>
      </w:pPr>
      <w:r>
        <w:rPr>
          <w:szCs w:val="24"/>
        </w:rPr>
        <w:t>Все активы, по которым учитываются кредитные риски, вне зависимости от наличия признаков обесценения учитывают в себе определенную степень риска неисполнения обязательств контрагента с даты признания такого актива. Кредитный риск в случае возникновения признаков обесценения (таких как просрочка, ухудшение финансового состояния контрагента/эмитента/банка, снижение рейтинга, дефолт и прочие) увеличивается и снижает справедливую стоимость таких активов.</w:t>
      </w:r>
    </w:p>
    <w:p w14:paraId="56B142CA" w14:textId="77777777" w:rsidR="008C0A68" w:rsidRDefault="008C0A68" w:rsidP="008C0A68">
      <w:pPr>
        <w:spacing w:line="360" w:lineRule="auto"/>
        <w:ind w:firstLine="709"/>
        <w:jc w:val="both"/>
        <w:rPr>
          <w:szCs w:val="24"/>
        </w:rPr>
      </w:pPr>
      <w:r>
        <w:rPr>
          <w:szCs w:val="24"/>
        </w:rPr>
        <w:t xml:space="preserve">Настоящая методика определяет порядок тестирования активов на обесценение и определение справедливой стоимости активов как без признаков обесценения, так и тех, по которым выявлены признаки обесценения. Методика содержит оценку кредитного риска для различных контрагентов. </w:t>
      </w:r>
    </w:p>
    <w:p w14:paraId="695C1912" w14:textId="77777777" w:rsidR="008C0A68" w:rsidRDefault="008C0A68" w:rsidP="008C0A68">
      <w:pPr>
        <w:spacing w:line="360" w:lineRule="auto"/>
        <w:ind w:firstLine="709"/>
        <w:jc w:val="both"/>
        <w:rPr>
          <w:szCs w:val="24"/>
        </w:rPr>
      </w:pPr>
      <w:r>
        <w:rPr>
          <w:i/>
          <w:szCs w:val="24"/>
        </w:rPr>
        <w:t>Кредитный риск</w:t>
      </w:r>
      <w:r>
        <w:rPr>
          <w:szCs w:val="24"/>
        </w:rPr>
        <w:t xml:space="preserve"> – риск возникновения убытка вследствие неисполнения контрагентом обязательств по договору, а также неоплаты контрагентом основного долга и/или процентов, причитающихся в установленный договором срок.</w:t>
      </w:r>
    </w:p>
    <w:p w14:paraId="0D3AB1A4" w14:textId="77777777" w:rsidR="008C0A68" w:rsidRDefault="008C0A68" w:rsidP="008C0A68">
      <w:pPr>
        <w:spacing w:line="360" w:lineRule="auto"/>
        <w:ind w:firstLine="709"/>
        <w:jc w:val="both"/>
        <w:rPr>
          <w:szCs w:val="24"/>
        </w:rPr>
      </w:pPr>
      <w:r>
        <w:rPr>
          <w:szCs w:val="24"/>
        </w:rPr>
        <w:t>В зависимости от степени влияния кредитного риска на справедливую стоимость активы классифицируются на следующие стадии:</w:t>
      </w:r>
    </w:p>
    <w:p w14:paraId="1FBD9BD9" w14:textId="77777777" w:rsidR="008C0A68" w:rsidRDefault="008C0A68" w:rsidP="008C0A68">
      <w:pPr>
        <w:spacing w:line="360" w:lineRule="auto"/>
        <w:ind w:firstLine="709"/>
        <w:jc w:val="both"/>
        <w:rPr>
          <w:szCs w:val="24"/>
        </w:rPr>
      </w:pPr>
      <w:r>
        <w:rPr>
          <w:szCs w:val="24"/>
        </w:rPr>
        <w:t>•</w:t>
      </w:r>
      <w:r>
        <w:rPr>
          <w:szCs w:val="24"/>
        </w:rPr>
        <w:tab/>
        <w:t>стандартные (без признаков обесценения);</w:t>
      </w:r>
    </w:p>
    <w:p w14:paraId="4810A14F" w14:textId="77777777" w:rsidR="008C0A68" w:rsidRDefault="008C0A68" w:rsidP="008C0A68">
      <w:pPr>
        <w:spacing w:line="360" w:lineRule="auto"/>
        <w:ind w:firstLine="709"/>
        <w:jc w:val="both"/>
        <w:rPr>
          <w:szCs w:val="24"/>
        </w:rPr>
      </w:pPr>
      <w:r>
        <w:rPr>
          <w:szCs w:val="24"/>
        </w:rPr>
        <w:t>•</w:t>
      </w:r>
      <w:r>
        <w:rPr>
          <w:szCs w:val="24"/>
        </w:rPr>
        <w:tab/>
        <w:t>обесцененные (без наступления дефолта);</w:t>
      </w:r>
    </w:p>
    <w:p w14:paraId="4109267F" w14:textId="77777777" w:rsidR="008C0A68" w:rsidRDefault="008C0A68" w:rsidP="008C0A68">
      <w:pPr>
        <w:spacing w:line="360" w:lineRule="auto"/>
        <w:ind w:firstLine="709"/>
        <w:jc w:val="both"/>
        <w:rPr>
          <w:szCs w:val="24"/>
        </w:rPr>
      </w:pPr>
      <w:r>
        <w:rPr>
          <w:szCs w:val="24"/>
        </w:rPr>
        <w:t>•</w:t>
      </w:r>
      <w:r>
        <w:rPr>
          <w:szCs w:val="24"/>
        </w:rPr>
        <w:tab/>
        <w:t>активы, находящиеся в дефолте.</w:t>
      </w:r>
    </w:p>
    <w:p w14:paraId="1716A4F7" w14:textId="77777777" w:rsidR="008C0A68" w:rsidRDefault="008C0A68" w:rsidP="008C0A68">
      <w:pPr>
        <w:spacing w:line="360" w:lineRule="auto"/>
        <w:ind w:firstLine="709"/>
        <w:jc w:val="both"/>
        <w:rPr>
          <w:szCs w:val="24"/>
        </w:rPr>
      </w:pPr>
      <w:r>
        <w:rPr>
          <w:i/>
          <w:szCs w:val="24"/>
        </w:rPr>
        <w:t>Внешний кредитный рейтинг</w:t>
      </w:r>
      <w:r>
        <w:rPr>
          <w:szCs w:val="24"/>
        </w:rPr>
        <w:t xml:space="preserve"> </w:t>
      </w:r>
      <w:r>
        <w:rPr>
          <w:i/>
          <w:szCs w:val="24"/>
        </w:rPr>
        <w:t>контрагента</w:t>
      </w:r>
      <w:r>
        <w:rPr>
          <w:szCs w:val="24"/>
        </w:rPr>
        <w:t xml:space="preserve"> – мнение независимого рейтингового агентства о способности контрагента исполнять принятые на себя финансовые обязательства (о его кредитоспособности, финансовой надежности, финансовой устойчивости), выраженным с использованием рейтинговой категории по определенной рейтинговой шкале. В целях применения настоящей методики используются рейтинги следующих рейтинговых агентств (при наличии доступа к материалам):</w:t>
      </w:r>
    </w:p>
    <w:p w14:paraId="5AC34E80"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lang w:val="en-US"/>
        </w:rPr>
      </w:pPr>
      <w:r>
        <w:rPr>
          <w:rFonts w:ascii="Times New Roman" w:hAnsi="Times New Roman"/>
          <w:sz w:val="24"/>
          <w:szCs w:val="24"/>
          <w:lang w:val="en-US"/>
        </w:rPr>
        <w:t xml:space="preserve">S&amp;P Global Ratings - </w:t>
      </w:r>
      <w:hyperlink r:id="rId95" w:history="1">
        <w:r>
          <w:rPr>
            <w:rStyle w:val="a9"/>
            <w:rFonts w:ascii="Times New Roman" w:hAnsi="Times New Roman"/>
            <w:lang w:val="en-US"/>
          </w:rPr>
          <w:t>https://www.standardandpoors.com</w:t>
        </w:r>
      </w:hyperlink>
      <w:r>
        <w:rPr>
          <w:rFonts w:ascii="Times New Roman" w:hAnsi="Times New Roman"/>
          <w:sz w:val="24"/>
          <w:szCs w:val="24"/>
          <w:lang w:val="en-US"/>
        </w:rPr>
        <w:t xml:space="preserve"> (</w:t>
      </w:r>
      <w:r>
        <w:rPr>
          <w:rFonts w:ascii="Times New Roman" w:hAnsi="Times New Roman"/>
          <w:sz w:val="24"/>
          <w:szCs w:val="24"/>
        </w:rPr>
        <w:t>далее</w:t>
      </w:r>
      <w:r>
        <w:rPr>
          <w:rFonts w:ascii="Times New Roman" w:hAnsi="Times New Roman"/>
          <w:sz w:val="24"/>
          <w:szCs w:val="24"/>
          <w:lang w:val="en-US"/>
        </w:rPr>
        <w:t xml:space="preserve"> - S&amp;P);</w:t>
      </w:r>
    </w:p>
    <w:p w14:paraId="11A77C3D"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lang w:val="en-US"/>
        </w:rPr>
      </w:pPr>
      <w:r>
        <w:rPr>
          <w:rFonts w:ascii="Times New Roman" w:hAnsi="Times New Roman"/>
          <w:sz w:val="24"/>
          <w:szCs w:val="24"/>
          <w:lang w:val="en-US"/>
        </w:rPr>
        <w:t>Moody's Investors Service -</w:t>
      </w:r>
      <w:r>
        <w:rPr>
          <w:rStyle w:val="a9"/>
          <w:rFonts w:ascii="Times New Roman" w:hAnsi="Times New Roman"/>
          <w:lang w:val="en-US"/>
        </w:rPr>
        <w:t xml:space="preserve"> </w:t>
      </w:r>
      <w:hyperlink r:id="rId96" w:history="1">
        <w:r>
          <w:rPr>
            <w:rStyle w:val="a9"/>
            <w:rFonts w:ascii="Times New Roman" w:hAnsi="Times New Roman"/>
            <w:lang w:val="en-US"/>
          </w:rPr>
          <w:t>https://www.moodys.com</w:t>
        </w:r>
      </w:hyperlink>
      <w:r>
        <w:rPr>
          <w:rFonts w:ascii="Times New Roman" w:hAnsi="Times New Roman"/>
          <w:sz w:val="24"/>
          <w:szCs w:val="24"/>
          <w:lang w:val="en-US"/>
        </w:rPr>
        <w:t xml:space="preserve"> (</w:t>
      </w:r>
      <w:r>
        <w:rPr>
          <w:rFonts w:ascii="Times New Roman" w:hAnsi="Times New Roman"/>
          <w:sz w:val="24"/>
          <w:szCs w:val="24"/>
        </w:rPr>
        <w:t>далее</w:t>
      </w:r>
      <w:r>
        <w:rPr>
          <w:rFonts w:ascii="Times New Roman" w:hAnsi="Times New Roman"/>
          <w:sz w:val="24"/>
          <w:szCs w:val="24"/>
          <w:lang w:val="en-US"/>
        </w:rPr>
        <w:t xml:space="preserve"> - Moody’s);</w:t>
      </w:r>
    </w:p>
    <w:p w14:paraId="6155EDAD"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lang w:val="en-US"/>
        </w:rPr>
      </w:pPr>
      <w:r>
        <w:rPr>
          <w:rFonts w:ascii="Times New Roman" w:hAnsi="Times New Roman"/>
          <w:sz w:val="24"/>
          <w:szCs w:val="24"/>
          <w:lang w:val="en-US"/>
        </w:rPr>
        <w:t xml:space="preserve">Fitch Ratings - </w:t>
      </w:r>
      <w:hyperlink r:id="rId97" w:history="1">
        <w:r>
          <w:rPr>
            <w:rStyle w:val="a9"/>
            <w:rFonts w:ascii="Times New Roman" w:hAnsi="Times New Roman"/>
            <w:lang w:val="en-US"/>
          </w:rPr>
          <w:t>https://www.fitchratings.com</w:t>
        </w:r>
      </w:hyperlink>
      <w:r>
        <w:rPr>
          <w:rFonts w:ascii="Times New Roman" w:hAnsi="Times New Roman"/>
          <w:sz w:val="24"/>
          <w:szCs w:val="24"/>
          <w:lang w:val="en-US"/>
        </w:rPr>
        <w:t xml:space="preserve"> (</w:t>
      </w:r>
      <w:r>
        <w:rPr>
          <w:rFonts w:ascii="Times New Roman" w:hAnsi="Times New Roman"/>
          <w:sz w:val="24"/>
          <w:szCs w:val="24"/>
        </w:rPr>
        <w:t>далее</w:t>
      </w:r>
      <w:r>
        <w:rPr>
          <w:rFonts w:ascii="Times New Roman" w:hAnsi="Times New Roman"/>
          <w:sz w:val="24"/>
          <w:szCs w:val="24"/>
          <w:lang w:val="en-US"/>
        </w:rPr>
        <w:t xml:space="preserve"> - Fitch);</w:t>
      </w:r>
    </w:p>
    <w:p w14:paraId="388BE48F" w14:textId="77777777" w:rsidR="008C0A68" w:rsidRDefault="008C0A68" w:rsidP="004872F3">
      <w:pPr>
        <w:pStyle w:val="a7"/>
        <w:numPr>
          <w:ilvl w:val="0"/>
          <w:numId w:val="9"/>
        </w:numPr>
        <w:tabs>
          <w:tab w:val="left" w:pos="1134"/>
        </w:tabs>
        <w:autoSpaceDE w:val="0"/>
        <w:autoSpaceDN w:val="0"/>
        <w:spacing w:after="0" w:line="360" w:lineRule="auto"/>
        <w:jc w:val="both"/>
        <w:rPr>
          <w:rFonts w:ascii="Times New Roman" w:hAnsi="Times New Roman"/>
          <w:sz w:val="24"/>
          <w:szCs w:val="24"/>
        </w:rPr>
      </w:pPr>
      <w:r>
        <w:rPr>
          <w:rFonts w:ascii="Times New Roman" w:hAnsi="Times New Roman"/>
          <w:sz w:val="24"/>
          <w:szCs w:val="24"/>
        </w:rPr>
        <w:t xml:space="preserve">АО «Эксперт РА» - </w:t>
      </w:r>
      <w:hyperlink r:id="rId98" w:history="1">
        <w:r>
          <w:rPr>
            <w:rStyle w:val="a9"/>
            <w:rFonts w:ascii="Times New Roman" w:hAnsi="Times New Roman"/>
          </w:rPr>
          <w:t>https://raexpert.ru</w:t>
        </w:r>
      </w:hyperlink>
      <w:r>
        <w:rPr>
          <w:rFonts w:ascii="Times New Roman" w:hAnsi="Times New Roman"/>
          <w:sz w:val="24"/>
          <w:szCs w:val="24"/>
        </w:rPr>
        <w:t xml:space="preserve"> (далее – Эксперт РА) - кредитные рейтинги, присвоенные по национальной рейтинговой шкале для Российской Федерации;</w:t>
      </w:r>
    </w:p>
    <w:p w14:paraId="69CC0C33" w14:textId="77777777" w:rsidR="008C0A68" w:rsidRDefault="008C0A68" w:rsidP="004872F3">
      <w:pPr>
        <w:pStyle w:val="a7"/>
        <w:numPr>
          <w:ilvl w:val="0"/>
          <w:numId w:val="9"/>
        </w:numPr>
        <w:tabs>
          <w:tab w:val="left" w:pos="1134"/>
        </w:tabs>
        <w:autoSpaceDE w:val="0"/>
        <w:autoSpaceDN w:val="0"/>
        <w:spacing w:after="0" w:line="360" w:lineRule="auto"/>
        <w:jc w:val="both"/>
        <w:rPr>
          <w:rFonts w:ascii="Times New Roman" w:hAnsi="Times New Roman"/>
          <w:sz w:val="24"/>
          <w:szCs w:val="24"/>
        </w:rPr>
      </w:pPr>
      <w:r>
        <w:rPr>
          <w:rFonts w:ascii="Times New Roman" w:hAnsi="Times New Roman"/>
          <w:sz w:val="24"/>
          <w:szCs w:val="24"/>
        </w:rPr>
        <w:lastRenderedPageBreak/>
        <w:t xml:space="preserve">АО «АКРА» (АКРА) - </w:t>
      </w:r>
      <w:hyperlink r:id="rId99" w:history="1">
        <w:r>
          <w:rPr>
            <w:rStyle w:val="a9"/>
            <w:rFonts w:ascii="Times New Roman" w:hAnsi="Times New Roman"/>
          </w:rPr>
          <w:t>https://www.acra-ratings.ru</w:t>
        </w:r>
      </w:hyperlink>
      <w:r>
        <w:rPr>
          <w:rFonts w:ascii="Times New Roman" w:hAnsi="Times New Roman"/>
          <w:sz w:val="24"/>
          <w:szCs w:val="24"/>
        </w:rPr>
        <w:t xml:space="preserve"> (далее - АКРА) - кредитные рейтинги, присвоенные по национальной рейтинговой шкале для Российской Федерации;</w:t>
      </w:r>
    </w:p>
    <w:p w14:paraId="53FD00F4" w14:textId="77777777" w:rsidR="008C0A68" w:rsidRDefault="008C0A68" w:rsidP="004872F3">
      <w:pPr>
        <w:pStyle w:val="a7"/>
        <w:numPr>
          <w:ilvl w:val="0"/>
          <w:numId w:val="9"/>
        </w:numPr>
        <w:tabs>
          <w:tab w:val="left" w:pos="1134"/>
        </w:tabs>
        <w:autoSpaceDE w:val="0"/>
        <w:autoSpaceDN w:val="0"/>
        <w:spacing w:after="0" w:line="360" w:lineRule="auto"/>
        <w:jc w:val="both"/>
        <w:rPr>
          <w:rFonts w:ascii="Times New Roman" w:hAnsi="Times New Roman"/>
          <w:sz w:val="24"/>
          <w:szCs w:val="24"/>
        </w:rPr>
      </w:pPr>
      <w:r>
        <w:rPr>
          <w:rFonts w:ascii="Times New Roman" w:hAnsi="Times New Roman"/>
          <w:sz w:val="24"/>
          <w:szCs w:val="24"/>
        </w:rPr>
        <w:t xml:space="preserve">ООО «НКР» - </w:t>
      </w:r>
      <w:hyperlink r:id="rId100" w:history="1">
        <w:r>
          <w:rPr>
            <w:rStyle w:val="a9"/>
          </w:rPr>
          <w:t>https://ratings.ru/</w:t>
        </w:r>
      </w:hyperlink>
      <w:r>
        <w:rPr>
          <w:rFonts w:ascii="Times New Roman" w:hAnsi="Times New Roman"/>
          <w:sz w:val="24"/>
          <w:szCs w:val="24"/>
        </w:rPr>
        <w:t xml:space="preserve"> (далее – НКР) - кредитные рейтинги банков, кредитные рейтинги нефинансовых компаний, присвоенные по национальной рейтинговой шкале для Российской Федерации;;</w:t>
      </w:r>
    </w:p>
    <w:p w14:paraId="2C1A7738" w14:textId="77777777" w:rsidR="008C0A68" w:rsidRDefault="008C0A68" w:rsidP="004872F3">
      <w:pPr>
        <w:pStyle w:val="a7"/>
        <w:numPr>
          <w:ilvl w:val="0"/>
          <w:numId w:val="9"/>
        </w:numPr>
        <w:tabs>
          <w:tab w:val="left" w:pos="1134"/>
        </w:tabs>
        <w:autoSpaceDE w:val="0"/>
        <w:autoSpaceDN w:val="0"/>
        <w:spacing w:after="0" w:line="360" w:lineRule="auto"/>
        <w:jc w:val="both"/>
        <w:rPr>
          <w:rFonts w:ascii="Times New Roman" w:hAnsi="Times New Roman"/>
          <w:sz w:val="24"/>
          <w:szCs w:val="24"/>
        </w:rPr>
      </w:pPr>
      <w:r>
        <w:rPr>
          <w:rFonts w:ascii="Times New Roman" w:hAnsi="Times New Roman"/>
          <w:sz w:val="24"/>
          <w:szCs w:val="24"/>
        </w:rPr>
        <w:t xml:space="preserve">ООО «НРА»  </w:t>
      </w:r>
      <w:hyperlink r:id="rId101" w:history="1">
        <w:r>
          <w:rPr>
            <w:rStyle w:val="a9"/>
          </w:rPr>
          <w:t>https://www.ra-national.ru/</w:t>
        </w:r>
      </w:hyperlink>
      <w:r>
        <w:rPr>
          <w:rFonts w:ascii="Times New Roman" w:hAnsi="Times New Roman"/>
          <w:sz w:val="24"/>
          <w:szCs w:val="24"/>
        </w:rPr>
        <w:t xml:space="preserve"> (далее НРА) .</w:t>
      </w:r>
      <w:r>
        <w:t xml:space="preserve"> </w:t>
      </w:r>
      <w:r>
        <w:rPr>
          <w:rFonts w:ascii="Times New Roman" w:hAnsi="Times New Roman"/>
          <w:sz w:val="24"/>
          <w:szCs w:val="24"/>
        </w:rPr>
        <w:t>- кредитные рейтинги банков, присвоенные по национальной рейтинговой шкале для Российской Федерации</w:t>
      </w:r>
    </w:p>
    <w:p w14:paraId="0E5C6C60" w14:textId="77777777" w:rsidR="008C0A68" w:rsidRDefault="008C0A68" w:rsidP="008C0A68">
      <w:pPr>
        <w:spacing w:line="360" w:lineRule="auto"/>
        <w:ind w:firstLine="709"/>
        <w:jc w:val="both"/>
        <w:rPr>
          <w:rFonts w:eastAsia="MS Mincho"/>
          <w:szCs w:val="24"/>
        </w:rPr>
      </w:pPr>
      <w:r>
        <w:rPr>
          <w:i/>
          <w:szCs w:val="24"/>
        </w:rPr>
        <w:t>Внутренний кредитный рейтинг контрагента</w:t>
      </w:r>
      <w:r>
        <w:rPr>
          <w:szCs w:val="24"/>
        </w:rPr>
        <w:t xml:space="preserve"> – кредитный рейтинг, </w:t>
      </w:r>
      <w:r>
        <w:rPr>
          <w:rFonts w:eastAsia="MS Mincho"/>
          <w:szCs w:val="24"/>
        </w:rPr>
        <w:t xml:space="preserve">который формируется при оценке финансового положения </w:t>
      </w:r>
      <w:r>
        <w:rPr>
          <w:szCs w:val="24"/>
        </w:rPr>
        <w:t>контрагента</w:t>
      </w:r>
      <w:r>
        <w:rPr>
          <w:rFonts w:eastAsia="MS Mincho"/>
          <w:szCs w:val="24"/>
        </w:rPr>
        <w:t xml:space="preserve">, содержит оценку всех объективных факторов, связанных с его деятельностью и способных повлиять на выполнение им своих обязательств перед кредиторами. </w:t>
      </w:r>
    </w:p>
    <w:p w14:paraId="0AB647DD" w14:textId="77777777" w:rsidR="008C0A68" w:rsidRDefault="008C0A68" w:rsidP="008C0A68">
      <w:pPr>
        <w:spacing w:line="360" w:lineRule="auto"/>
        <w:ind w:firstLine="709"/>
        <w:jc w:val="both"/>
        <w:rPr>
          <w:rFonts w:eastAsia="MS Mincho"/>
          <w:szCs w:val="24"/>
        </w:rPr>
      </w:pPr>
      <w:r>
        <w:rPr>
          <w:rFonts w:eastAsia="MS Mincho"/>
          <w:szCs w:val="24"/>
        </w:rPr>
        <w:t>Для целей настоящей методики контрагенты – индивидуальные предприниматели приравниваются к контрагентам – физическим лицам.</w:t>
      </w:r>
    </w:p>
    <w:p w14:paraId="0DEFAA7A" w14:textId="77777777" w:rsidR="008C0A68" w:rsidRDefault="008C0A68" w:rsidP="004872F3">
      <w:pPr>
        <w:keepLines/>
        <w:numPr>
          <w:ilvl w:val="0"/>
          <w:numId w:val="29"/>
        </w:numPr>
        <w:spacing w:before="120" w:after="120" w:line="360" w:lineRule="auto"/>
        <w:ind w:left="0" w:firstLine="0"/>
        <w:jc w:val="center"/>
        <w:rPr>
          <w:rFonts w:eastAsia="Calibri"/>
          <w:b/>
          <w:szCs w:val="24"/>
        </w:rPr>
      </w:pPr>
      <w:r>
        <w:rPr>
          <w:b/>
          <w:szCs w:val="24"/>
        </w:rPr>
        <w:t>Активы, тестируемые на обесценение</w:t>
      </w:r>
    </w:p>
    <w:p w14:paraId="3E6BBED8" w14:textId="77777777" w:rsidR="008C0A68" w:rsidRDefault="008C0A68" w:rsidP="008C0A68">
      <w:pPr>
        <w:spacing w:line="360" w:lineRule="auto"/>
        <w:ind w:firstLine="708"/>
        <w:jc w:val="both"/>
        <w:rPr>
          <w:rFonts w:eastAsia="MS Mincho"/>
          <w:szCs w:val="24"/>
        </w:rPr>
      </w:pPr>
      <w:r>
        <w:rPr>
          <w:rFonts w:eastAsia="MS Mincho"/>
          <w:szCs w:val="24"/>
        </w:rPr>
        <w:t>Такие виды активов, как:</w:t>
      </w:r>
    </w:p>
    <w:p w14:paraId="46854AF8"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дебиторская задолженность, возникшая в результате совершения сделок с имуществом ПИФ;</w:t>
      </w:r>
    </w:p>
    <w:p w14:paraId="0299F885"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lang w:val="en-US"/>
        </w:rPr>
      </w:pPr>
      <w:r>
        <w:rPr>
          <w:rFonts w:ascii="Times New Roman" w:hAnsi="Times New Roman"/>
          <w:sz w:val="24"/>
          <w:szCs w:val="24"/>
          <w:lang w:val="en-US"/>
        </w:rPr>
        <w:t>денежные средства во вкладах;</w:t>
      </w:r>
    </w:p>
    <w:p w14:paraId="67DFB36C"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права требования по выданным займам;</w:t>
      </w:r>
    </w:p>
    <w:p w14:paraId="0BF31D6B"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ценные бумаги, справедливая стоимость которых оценивается с применением моделей оценки 3 уровня иерархии (в т.ч. векселя);</w:t>
      </w:r>
    </w:p>
    <w:p w14:paraId="08BC3A90"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имущественные права;</w:t>
      </w:r>
    </w:p>
    <w:p w14:paraId="381F4BA1"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доли в уставном капитале ООО,</w:t>
      </w:r>
    </w:p>
    <w:p w14:paraId="23A52480" w14:textId="77777777" w:rsidR="008C0A68" w:rsidRDefault="008C0A68" w:rsidP="008C0A68">
      <w:pPr>
        <w:spacing w:line="360" w:lineRule="auto"/>
        <w:ind w:firstLine="709"/>
        <w:jc w:val="both"/>
        <w:rPr>
          <w:szCs w:val="24"/>
        </w:rPr>
      </w:pPr>
      <w:r>
        <w:rPr>
          <w:szCs w:val="24"/>
        </w:rPr>
        <w:t>(далее – «тестируемые активы») на дату первоначального признания, (для операционной дебиторской задолженности – также на дату прекращения признания ее операционной) и далее не реже, чем на каждую дату расчета СЧА, подлежат тестированию на обесценение. Управляющая компания вправе провести тестирование на обесценение в даты изменения существенных условий в отношении указанных выше активов, в т.ч.:</w:t>
      </w:r>
    </w:p>
    <w:p w14:paraId="11760125" w14:textId="77777777" w:rsidR="008C0A68" w:rsidRDefault="008C0A68" w:rsidP="008C0A68">
      <w:pPr>
        <w:spacing w:line="360" w:lineRule="auto"/>
        <w:ind w:firstLine="709"/>
        <w:jc w:val="both"/>
        <w:rPr>
          <w:szCs w:val="24"/>
        </w:rPr>
      </w:pPr>
      <w:r>
        <w:rPr>
          <w:szCs w:val="24"/>
        </w:rPr>
        <w:t>- в дату частичного погашения актива;</w:t>
      </w:r>
    </w:p>
    <w:p w14:paraId="77169638" w14:textId="77777777" w:rsidR="008C0A68" w:rsidRDefault="008C0A68" w:rsidP="008C0A68">
      <w:pPr>
        <w:spacing w:line="360" w:lineRule="auto"/>
        <w:ind w:firstLine="709"/>
        <w:jc w:val="both"/>
        <w:rPr>
          <w:szCs w:val="24"/>
        </w:rPr>
      </w:pPr>
      <w:r>
        <w:rPr>
          <w:szCs w:val="24"/>
        </w:rPr>
        <w:t>- в дату корректировки графика платежей в части сумм и/или дат;</w:t>
      </w:r>
    </w:p>
    <w:p w14:paraId="388DE1DF" w14:textId="77777777" w:rsidR="008C0A68" w:rsidRDefault="008C0A68" w:rsidP="008C0A68">
      <w:pPr>
        <w:spacing w:line="360" w:lineRule="auto"/>
        <w:ind w:firstLine="709"/>
        <w:jc w:val="both"/>
        <w:rPr>
          <w:szCs w:val="24"/>
        </w:rPr>
      </w:pPr>
      <w:r>
        <w:rPr>
          <w:szCs w:val="24"/>
        </w:rPr>
        <w:t>- в дату получения сведений об изменении стоимости обеспечения по активу;</w:t>
      </w:r>
    </w:p>
    <w:p w14:paraId="361F07D9" w14:textId="77777777" w:rsidR="008C0A68" w:rsidRDefault="008C0A68" w:rsidP="008C0A68">
      <w:pPr>
        <w:spacing w:line="360" w:lineRule="auto"/>
        <w:ind w:firstLine="709"/>
        <w:jc w:val="both"/>
        <w:rPr>
          <w:szCs w:val="24"/>
        </w:rPr>
      </w:pPr>
      <w:r>
        <w:rPr>
          <w:szCs w:val="24"/>
        </w:rPr>
        <w:t>- в дату изменения срока исполнения обязательств застройщиком по инвестиционному контракту или его этапу.</w:t>
      </w:r>
    </w:p>
    <w:p w14:paraId="5F7CCF85" w14:textId="77777777" w:rsidR="008C0A68" w:rsidRDefault="008C0A68" w:rsidP="004872F3">
      <w:pPr>
        <w:keepLines/>
        <w:numPr>
          <w:ilvl w:val="0"/>
          <w:numId w:val="29"/>
        </w:numPr>
        <w:spacing w:before="120" w:after="120" w:line="360" w:lineRule="auto"/>
        <w:ind w:left="0" w:firstLine="0"/>
        <w:jc w:val="center"/>
        <w:rPr>
          <w:b/>
          <w:szCs w:val="24"/>
        </w:rPr>
      </w:pPr>
      <w:r>
        <w:rPr>
          <w:b/>
          <w:szCs w:val="24"/>
        </w:rPr>
        <w:lastRenderedPageBreak/>
        <w:t>Признаки обесценения</w:t>
      </w:r>
    </w:p>
    <w:p w14:paraId="52320A4A" w14:textId="77777777" w:rsidR="008C0A68" w:rsidRDefault="008C0A68" w:rsidP="008C0A68">
      <w:pPr>
        <w:spacing w:line="360" w:lineRule="auto"/>
        <w:ind w:firstLine="709"/>
        <w:jc w:val="both"/>
        <w:rPr>
          <w:szCs w:val="24"/>
        </w:rPr>
      </w:pPr>
      <w:r>
        <w:rPr>
          <w:szCs w:val="24"/>
        </w:rPr>
        <w:t>Тестируемые активы подлежат внеочередному тестированию на обесценение, если имеется одно или несколько событий, которые могут оказать негативное влияние на их стоимость (признаков обесценения). Для целей проведения тестирования управляющая компания должна использовать обоснованную и подтверждаемую информацию о негативных событиях, доступную ей без чрезмерных затрат и усилий.</w:t>
      </w:r>
    </w:p>
    <w:p w14:paraId="64C1A514" w14:textId="77777777" w:rsidR="008C0A68" w:rsidRDefault="008C0A68" w:rsidP="004872F3">
      <w:pPr>
        <w:pStyle w:val="a7"/>
        <w:keepLines/>
        <w:numPr>
          <w:ilvl w:val="1"/>
          <w:numId w:val="30"/>
        </w:numPr>
        <w:spacing w:after="0" w:line="360" w:lineRule="auto"/>
        <w:ind w:left="709" w:hanging="709"/>
        <w:jc w:val="both"/>
        <w:rPr>
          <w:rFonts w:ascii="Times New Roman" w:hAnsi="Times New Roman"/>
          <w:b/>
          <w:sz w:val="24"/>
          <w:szCs w:val="24"/>
        </w:rPr>
      </w:pPr>
      <w:r>
        <w:rPr>
          <w:rFonts w:ascii="Times New Roman" w:hAnsi="Times New Roman"/>
          <w:b/>
          <w:sz w:val="24"/>
          <w:szCs w:val="24"/>
        </w:rPr>
        <w:t>Признаки обесценения актива (контрагент – юридическое лицо):</w:t>
      </w:r>
    </w:p>
    <w:p w14:paraId="73E6D531" w14:textId="77777777" w:rsidR="008C0A68" w:rsidRDefault="008C0A68" w:rsidP="004872F3">
      <w:pPr>
        <w:pStyle w:val="a7"/>
        <w:numPr>
          <w:ilvl w:val="2"/>
          <w:numId w:val="30"/>
        </w:numPr>
        <w:spacing w:after="0" w:line="360" w:lineRule="auto"/>
        <w:jc w:val="both"/>
        <w:rPr>
          <w:rFonts w:ascii="Times New Roman" w:hAnsi="Times New Roman"/>
          <w:b/>
          <w:i/>
          <w:sz w:val="24"/>
          <w:szCs w:val="24"/>
        </w:rPr>
      </w:pPr>
      <w:r>
        <w:rPr>
          <w:rFonts w:ascii="Times New Roman" w:hAnsi="Times New Roman"/>
          <w:b/>
          <w:i/>
          <w:sz w:val="24"/>
          <w:szCs w:val="24"/>
        </w:rPr>
        <w:t>Снижение внешнего кредитного рейтинга контрагента.</w:t>
      </w:r>
    </w:p>
    <w:p w14:paraId="798DAC56" w14:textId="77777777" w:rsidR="008C0A68" w:rsidRDefault="008C0A68" w:rsidP="008C0A68">
      <w:pPr>
        <w:spacing w:line="360" w:lineRule="auto"/>
        <w:ind w:firstLine="708"/>
        <w:jc w:val="both"/>
        <w:rPr>
          <w:szCs w:val="24"/>
        </w:rPr>
      </w:pPr>
      <w:r>
        <w:rPr>
          <w:szCs w:val="24"/>
        </w:rPr>
        <w:t>Данный пункт применяется для контрагентов, имеющих внешний кредитный рейтинг одного или нескольких рейтинговых агентств, перечисленных в п.1.</w:t>
      </w:r>
    </w:p>
    <w:p w14:paraId="4B19630A" w14:textId="77777777" w:rsidR="008C0A68" w:rsidRDefault="008C0A68" w:rsidP="008C0A68">
      <w:pPr>
        <w:spacing w:line="360" w:lineRule="auto"/>
        <w:ind w:firstLine="708"/>
        <w:jc w:val="both"/>
        <w:rPr>
          <w:szCs w:val="24"/>
        </w:rPr>
      </w:pPr>
      <w:r>
        <w:rPr>
          <w:szCs w:val="24"/>
        </w:rPr>
        <w:t xml:space="preserve">Информация о снижении кредитного рейтинга отслеживается на сайтах рейтинговых агентств и в средствах массовой информации. </w:t>
      </w:r>
    </w:p>
    <w:p w14:paraId="27F963F4" w14:textId="77777777" w:rsidR="008C0A68" w:rsidRDefault="008C0A68" w:rsidP="008C0A68">
      <w:pPr>
        <w:spacing w:line="360" w:lineRule="auto"/>
        <w:ind w:firstLine="708"/>
        <w:jc w:val="both"/>
        <w:rPr>
          <w:szCs w:val="24"/>
        </w:rPr>
      </w:pPr>
      <w:r>
        <w:rPr>
          <w:szCs w:val="24"/>
        </w:rPr>
        <w:t xml:space="preserve">В случае если стоимость актива определяется </w:t>
      </w:r>
      <w:r>
        <w:rPr>
          <w:b/>
          <w:szCs w:val="24"/>
        </w:rPr>
        <w:t>не</w:t>
      </w:r>
      <w:r>
        <w:rPr>
          <w:szCs w:val="24"/>
        </w:rPr>
        <w:t xml:space="preserve"> на основании отчета независимого оценщика, подтверждением необходимости обесценения тестируемого актива является снижение  внешнего рейтинга контрагента по сравнению с внешним рейтингом на дату последнего тестирования актива.</w:t>
      </w:r>
    </w:p>
    <w:p w14:paraId="257C6202" w14:textId="77777777" w:rsidR="008C0A68" w:rsidRDefault="008C0A68" w:rsidP="008C0A68">
      <w:pPr>
        <w:spacing w:line="360" w:lineRule="auto"/>
        <w:ind w:firstLine="708"/>
        <w:jc w:val="both"/>
        <w:rPr>
          <w:szCs w:val="24"/>
        </w:rPr>
      </w:pPr>
      <w:r>
        <w:rPr>
          <w:szCs w:val="24"/>
        </w:rPr>
        <w:t>В случае если стоимость актива определяется на основании отчета независимого оценщика, необходимость обесценения тестируемого актива наступает при снижении внешнего кредитного рейтинга контрагента, при котором контрагент переходит в Рейтинговую группу с бόльшим порядковым номером (см. Таблица 1, столбец 1 «Рейтинговая группа») по сравнению с внешним рейтингом контрагента на дату последней оценки актива независимым оценщиком.</w:t>
      </w:r>
    </w:p>
    <w:p w14:paraId="2FC89C74" w14:textId="77777777" w:rsidR="008C0A68" w:rsidRDefault="008C0A68" w:rsidP="008C0A68">
      <w:pPr>
        <w:spacing w:line="360" w:lineRule="auto"/>
        <w:ind w:firstLine="708"/>
        <w:jc w:val="both"/>
        <w:rPr>
          <w:szCs w:val="24"/>
        </w:rPr>
      </w:pPr>
      <w:r>
        <w:rPr>
          <w:szCs w:val="24"/>
        </w:rPr>
        <w:t>В случае наличия у контрагента рейтингов нескольких рейтинговых агентств для оценки применяется наиболее высокий из них в соответствии с Таблицей 1.</w:t>
      </w:r>
    </w:p>
    <w:p w14:paraId="3E26CAAF" w14:textId="77777777" w:rsidR="008C0A68" w:rsidRDefault="008C0A68" w:rsidP="008C0A68">
      <w:pPr>
        <w:spacing w:line="360" w:lineRule="auto"/>
        <w:ind w:firstLine="708"/>
        <w:jc w:val="both"/>
        <w:rPr>
          <w:szCs w:val="24"/>
        </w:rPr>
      </w:pPr>
      <w:r>
        <w:rPr>
          <w:szCs w:val="24"/>
        </w:rPr>
        <w:t>Ухудшение рейтинга, присвоенного по международной шкале в иностранной валюте для задолженности, не учитывается в качестве признака обесценения в случае, если оно обусловлено ухудшением страновой оценки эмитента / заемщика.</w:t>
      </w:r>
    </w:p>
    <w:p w14:paraId="713A6C6B" w14:textId="77777777" w:rsidR="008C0A68" w:rsidRDefault="008C0A68" w:rsidP="008C0A68">
      <w:pPr>
        <w:spacing w:line="360" w:lineRule="auto"/>
        <w:ind w:firstLine="708"/>
        <w:jc w:val="both"/>
        <w:rPr>
          <w:szCs w:val="24"/>
        </w:rPr>
      </w:pPr>
      <w:r>
        <w:rPr>
          <w:szCs w:val="24"/>
        </w:rPr>
        <w:t>Ухудшение рейтинга одним рейтинговым агентством, ранее произведенное другим рейтинговым агентством и учтенное в качестве события, ведущего к обесценению, не учитывается, если причиной ухудшения является одно и то же событие.</w:t>
      </w:r>
    </w:p>
    <w:p w14:paraId="695E44B2" w14:textId="77777777" w:rsidR="008C0A68" w:rsidRDefault="008C0A68" w:rsidP="008C0A68">
      <w:pPr>
        <w:spacing w:line="360" w:lineRule="auto"/>
        <w:ind w:firstLine="708"/>
        <w:jc w:val="both"/>
        <w:rPr>
          <w:szCs w:val="24"/>
        </w:rPr>
      </w:pPr>
      <w:r>
        <w:rPr>
          <w:szCs w:val="24"/>
        </w:rPr>
        <w:t xml:space="preserve">При отзыве у контрагента всех существовавших ранее внешних рейтингов оценка актива осуществляется на основании методики для контрагентов, не имеющих внешнего рейтинга. </w:t>
      </w:r>
    </w:p>
    <w:p w14:paraId="607E5C5E" w14:textId="77777777" w:rsidR="008C0A68" w:rsidRDefault="008C0A68" w:rsidP="008C0A68">
      <w:pPr>
        <w:spacing w:line="360" w:lineRule="auto"/>
        <w:ind w:firstLine="708"/>
        <w:jc w:val="both"/>
        <w:rPr>
          <w:szCs w:val="24"/>
        </w:rPr>
      </w:pPr>
      <w:r>
        <w:rPr>
          <w:szCs w:val="24"/>
        </w:rPr>
        <w:lastRenderedPageBreak/>
        <w:t>В случае заключения сделок через брокера изменение внешнего рейтинга брокера не является признаком обесценения для задолженности контрагента по сделке.</w:t>
      </w:r>
    </w:p>
    <w:p w14:paraId="6AAA7E14" w14:textId="77777777" w:rsidR="008C0A68" w:rsidRDefault="008C0A68" w:rsidP="004872F3">
      <w:pPr>
        <w:pStyle w:val="a7"/>
        <w:keepNext/>
        <w:numPr>
          <w:ilvl w:val="2"/>
          <w:numId w:val="30"/>
        </w:numPr>
        <w:spacing w:after="0" w:line="360" w:lineRule="auto"/>
        <w:jc w:val="both"/>
        <w:rPr>
          <w:rFonts w:ascii="Times New Roman" w:hAnsi="Times New Roman"/>
          <w:b/>
          <w:i/>
          <w:sz w:val="24"/>
          <w:szCs w:val="24"/>
        </w:rPr>
      </w:pPr>
      <w:r>
        <w:rPr>
          <w:rFonts w:ascii="Times New Roman" w:hAnsi="Times New Roman"/>
          <w:b/>
          <w:i/>
          <w:sz w:val="24"/>
          <w:szCs w:val="24"/>
        </w:rPr>
        <w:t>Снижение внутреннего кредитного рейтинга контрагента.</w:t>
      </w:r>
    </w:p>
    <w:p w14:paraId="29B3AFBE" w14:textId="77777777" w:rsidR="008C0A68" w:rsidRDefault="008C0A68" w:rsidP="008C0A68">
      <w:pPr>
        <w:spacing w:line="360" w:lineRule="auto"/>
        <w:ind w:firstLine="708"/>
        <w:jc w:val="both"/>
        <w:rPr>
          <w:szCs w:val="24"/>
        </w:rPr>
      </w:pPr>
      <w:r>
        <w:rPr>
          <w:szCs w:val="24"/>
        </w:rPr>
        <w:t xml:space="preserve">Данный пункт применяется для контрагентов, не имеющих внешний кредитный рейтинг, но имеющих внутренний кредитный рейтинг. </w:t>
      </w:r>
    </w:p>
    <w:p w14:paraId="6D69C3C5" w14:textId="77777777" w:rsidR="008C0A68" w:rsidRDefault="008C0A68" w:rsidP="008C0A68">
      <w:pPr>
        <w:spacing w:line="360" w:lineRule="auto"/>
        <w:ind w:firstLine="708"/>
        <w:jc w:val="both"/>
        <w:rPr>
          <w:szCs w:val="24"/>
        </w:rPr>
      </w:pPr>
      <w:r>
        <w:rPr>
          <w:szCs w:val="24"/>
        </w:rPr>
        <w:t xml:space="preserve">Уровень внутреннего кредитного рейтинга устанавливается на основании анализа последней по времени </w:t>
      </w:r>
      <w:r>
        <w:rPr>
          <w:b/>
          <w:szCs w:val="24"/>
        </w:rPr>
        <w:t>квартальной/годовой</w:t>
      </w:r>
      <w:r>
        <w:rPr>
          <w:szCs w:val="24"/>
        </w:rPr>
        <w:t xml:space="preserve"> финансовой отчетности, полученной от контрагента или из общедоступных источников информации. </w:t>
      </w:r>
    </w:p>
    <w:p w14:paraId="0D883BCE" w14:textId="77777777" w:rsidR="008C0A68" w:rsidRDefault="008C0A68" w:rsidP="008C0A68">
      <w:pPr>
        <w:spacing w:line="360" w:lineRule="auto"/>
        <w:ind w:firstLine="708"/>
        <w:jc w:val="both"/>
        <w:rPr>
          <w:szCs w:val="24"/>
        </w:rPr>
      </w:pPr>
      <w:r>
        <w:rPr>
          <w:szCs w:val="24"/>
        </w:rPr>
        <w:t xml:space="preserve">В случае если стоимость актива определяется </w:t>
      </w:r>
      <w:r>
        <w:rPr>
          <w:b/>
          <w:szCs w:val="24"/>
        </w:rPr>
        <w:t>не</w:t>
      </w:r>
      <w:r>
        <w:rPr>
          <w:szCs w:val="24"/>
        </w:rPr>
        <w:t xml:space="preserve"> на основании отчета независимого оценщика, подтверждением необходимости обесценения тестируемого актива является снижение внутреннего кредитного рейтинга контрагента по сравнению с внутренним рейтингом на дату последнего тестирования актива.</w:t>
      </w:r>
    </w:p>
    <w:p w14:paraId="3E6AFC38" w14:textId="77777777" w:rsidR="008C0A68" w:rsidRDefault="008C0A68" w:rsidP="008C0A68">
      <w:pPr>
        <w:spacing w:line="360" w:lineRule="auto"/>
        <w:ind w:firstLine="708"/>
        <w:jc w:val="both"/>
        <w:rPr>
          <w:szCs w:val="24"/>
        </w:rPr>
      </w:pPr>
      <w:r>
        <w:rPr>
          <w:szCs w:val="24"/>
        </w:rPr>
        <w:t xml:space="preserve">В случае если стоимость актива определяется на основании отчета независимого оценщика, составленного на основании </w:t>
      </w:r>
      <w:r>
        <w:rPr>
          <w:b/>
          <w:szCs w:val="24"/>
        </w:rPr>
        <w:t>квартальной/годовой</w:t>
      </w:r>
      <w:r>
        <w:rPr>
          <w:szCs w:val="24"/>
        </w:rPr>
        <w:t xml:space="preserve"> отчетности контрагента, необходимость обесценения тестируемого актива наступает при снижении внутреннего кредитного рейтинга контрагента, при котором он переходит в Рейтинговую группу с бόльшим порядковым номером (см. Таблица 5, столбец 1 «Рейтинговая группа») по сравнению с внутренним рейтингом, рассчитанным исходя из финансовой отчетности контрагента, предоставленной независимому оценщику.</w:t>
      </w:r>
    </w:p>
    <w:p w14:paraId="295AB488" w14:textId="77777777" w:rsidR="008C0A68" w:rsidRDefault="008C0A68" w:rsidP="008C0A68">
      <w:pPr>
        <w:spacing w:line="360" w:lineRule="auto"/>
        <w:ind w:firstLine="708"/>
        <w:jc w:val="both"/>
        <w:rPr>
          <w:szCs w:val="24"/>
        </w:rPr>
      </w:pPr>
      <w:r>
        <w:rPr>
          <w:szCs w:val="24"/>
        </w:rPr>
        <w:t xml:space="preserve">В случае если при составлении отчета оценщика использовалась </w:t>
      </w:r>
      <w:r>
        <w:rPr>
          <w:b/>
          <w:szCs w:val="24"/>
        </w:rPr>
        <w:t>промежуточная</w:t>
      </w:r>
      <w:r>
        <w:rPr>
          <w:szCs w:val="24"/>
        </w:rPr>
        <w:t xml:space="preserve"> (внутриквартальная) отчетность, то в качестве базы для последующего сравнения устанавливается внутренний рейтинг контрагента на основании отчетности на конец указанного квартала.</w:t>
      </w:r>
    </w:p>
    <w:p w14:paraId="17CC8420" w14:textId="77777777" w:rsidR="008C0A68" w:rsidRDefault="008C0A68" w:rsidP="008C0A68">
      <w:pPr>
        <w:spacing w:line="360" w:lineRule="auto"/>
        <w:ind w:firstLine="708"/>
        <w:jc w:val="both"/>
        <w:rPr>
          <w:szCs w:val="24"/>
        </w:rPr>
      </w:pPr>
      <w:r>
        <w:rPr>
          <w:szCs w:val="24"/>
        </w:rPr>
        <w:t xml:space="preserve">В случае, если в отчете оценщика не использовалась отчетность контрагента, необходимость обесценения тестируемого актива наступает при снижении внутреннего кредитного рейтинга контрагента, при котором он переходит в Рейтинговую группу </w:t>
      </w:r>
      <w:r>
        <w:rPr>
          <w:szCs w:val="24"/>
          <w:lang w:val="en-US"/>
        </w:rPr>
        <w:t>III</w:t>
      </w:r>
      <w:r>
        <w:rPr>
          <w:szCs w:val="24"/>
        </w:rPr>
        <w:t xml:space="preserve"> или </w:t>
      </w:r>
      <w:r>
        <w:rPr>
          <w:szCs w:val="24"/>
          <w:lang w:val="en-US"/>
        </w:rPr>
        <w:t>IV</w:t>
      </w:r>
      <w:r>
        <w:rPr>
          <w:szCs w:val="24"/>
        </w:rPr>
        <w:t xml:space="preserve"> (см. Таблица 5, столбец 1 «Рейтинговая группа») из группы с более высоким рейтингом, рассчитанным исходя из квартальной/годовой финансовой отчетности контрагента, составленной на конец квартала, в котором была последняя дата оценки актива. </w:t>
      </w:r>
    </w:p>
    <w:p w14:paraId="1BF57461" w14:textId="77777777" w:rsidR="008C0A68" w:rsidRDefault="008C0A68" w:rsidP="008C0A68">
      <w:pPr>
        <w:spacing w:line="360" w:lineRule="auto"/>
        <w:ind w:firstLine="708"/>
        <w:jc w:val="both"/>
        <w:rPr>
          <w:szCs w:val="24"/>
        </w:rPr>
      </w:pPr>
      <w:r>
        <w:rPr>
          <w:szCs w:val="24"/>
        </w:rPr>
        <w:t xml:space="preserve">В случае если между датой тестирования и датой, на которую составлена последняя полученная от контрагента или из общедоступных источников информации финансовая отчетность контрагента, прошло более трех кварталов (для некредитных финансовых организаций – более пяти кварталов), то считается, что внутренний рейтинг контрагента определить невозможно. </w:t>
      </w:r>
    </w:p>
    <w:p w14:paraId="327E5BEB" w14:textId="77777777" w:rsidR="008C0A68" w:rsidRDefault="008C0A68" w:rsidP="008C0A68">
      <w:pPr>
        <w:spacing w:line="360" w:lineRule="auto"/>
        <w:ind w:firstLine="708"/>
        <w:jc w:val="both"/>
        <w:rPr>
          <w:szCs w:val="24"/>
        </w:rPr>
      </w:pPr>
      <w:r>
        <w:rPr>
          <w:szCs w:val="24"/>
        </w:rPr>
        <w:lastRenderedPageBreak/>
        <w:t>В случае заключения сделок через брокера изменение внутреннего рейтинга брокера не является признаком обесценения для задолженности контрагента по сделке.</w:t>
      </w:r>
    </w:p>
    <w:p w14:paraId="3499266E" w14:textId="77777777" w:rsidR="008C0A68" w:rsidRDefault="008C0A68" w:rsidP="004872F3">
      <w:pPr>
        <w:pStyle w:val="a7"/>
        <w:keepNext/>
        <w:numPr>
          <w:ilvl w:val="2"/>
          <w:numId w:val="30"/>
        </w:numPr>
        <w:spacing w:after="0" w:line="360" w:lineRule="auto"/>
        <w:jc w:val="both"/>
        <w:rPr>
          <w:rFonts w:ascii="Times New Roman" w:hAnsi="Times New Roman"/>
          <w:b/>
          <w:i/>
          <w:sz w:val="24"/>
          <w:szCs w:val="24"/>
        </w:rPr>
      </w:pPr>
      <w:r>
        <w:rPr>
          <w:rFonts w:ascii="Times New Roman" w:hAnsi="Times New Roman"/>
          <w:b/>
          <w:i/>
          <w:sz w:val="24"/>
          <w:szCs w:val="24"/>
        </w:rPr>
        <w:t>Отзыв (аннулирование) у контрагента лицензии по осуществлению основного вида деятельности.</w:t>
      </w:r>
    </w:p>
    <w:p w14:paraId="72641E8D" w14:textId="77777777" w:rsidR="008C0A68" w:rsidRDefault="008C0A68" w:rsidP="008C0A68">
      <w:pPr>
        <w:pStyle w:val="a7"/>
        <w:spacing w:after="0" w:line="360" w:lineRule="auto"/>
        <w:ind w:left="0" w:firstLine="708"/>
        <w:jc w:val="both"/>
        <w:rPr>
          <w:rFonts w:ascii="Times New Roman" w:hAnsi="Times New Roman"/>
          <w:sz w:val="24"/>
          <w:szCs w:val="24"/>
        </w:rPr>
      </w:pPr>
      <w:r>
        <w:rPr>
          <w:rFonts w:ascii="Times New Roman" w:hAnsi="Times New Roman"/>
          <w:sz w:val="24"/>
          <w:szCs w:val="24"/>
        </w:rPr>
        <w:t xml:space="preserve">Источник информации – официальный сайт контрагента, а также на основании информации, опубликованной в следующих доступных источниках: </w:t>
      </w:r>
      <w:hyperlink r:id="rId102" w:history="1">
        <w:r>
          <w:rPr>
            <w:rStyle w:val="a9"/>
            <w:rFonts w:ascii="Times New Roman" w:hAnsi="Times New Roman"/>
            <w:lang w:val="en-US"/>
          </w:rPr>
          <w:t>https</w:t>
        </w:r>
        <w:r>
          <w:rPr>
            <w:rStyle w:val="a9"/>
            <w:rFonts w:ascii="Times New Roman" w:hAnsi="Times New Roman"/>
          </w:rPr>
          <w:t>://</w:t>
        </w:r>
        <w:r>
          <w:rPr>
            <w:rStyle w:val="a9"/>
            <w:rFonts w:ascii="Times New Roman" w:hAnsi="Times New Roman"/>
            <w:lang w:val="en-US"/>
          </w:rPr>
          <w:t>www</w:t>
        </w:r>
        <w:r>
          <w:rPr>
            <w:rStyle w:val="a9"/>
            <w:rFonts w:ascii="Times New Roman" w:hAnsi="Times New Roman"/>
          </w:rPr>
          <w:t>.</w:t>
        </w:r>
        <w:r>
          <w:rPr>
            <w:rStyle w:val="a9"/>
            <w:rFonts w:ascii="Times New Roman" w:hAnsi="Times New Roman"/>
            <w:lang w:val="en-US"/>
          </w:rPr>
          <w:t>e</w:t>
        </w:r>
        <w:r>
          <w:rPr>
            <w:rStyle w:val="a9"/>
            <w:rFonts w:ascii="Times New Roman" w:hAnsi="Times New Roman"/>
          </w:rPr>
          <w:t>-</w:t>
        </w:r>
        <w:r>
          <w:rPr>
            <w:rStyle w:val="a9"/>
            <w:rFonts w:ascii="Times New Roman" w:hAnsi="Times New Roman"/>
            <w:lang w:val="en-US"/>
          </w:rPr>
          <w:t>disclosure</w:t>
        </w:r>
        <w:r>
          <w:rPr>
            <w:rStyle w:val="a9"/>
            <w:rFonts w:ascii="Times New Roman" w:hAnsi="Times New Roman"/>
          </w:rPr>
          <w:t>.</w:t>
        </w:r>
        <w:r>
          <w:rPr>
            <w:rStyle w:val="a9"/>
            <w:rFonts w:ascii="Times New Roman" w:hAnsi="Times New Roman"/>
            <w:lang w:val="en-US"/>
          </w:rPr>
          <w:t>ru</w:t>
        </w:r>
        <w:r>
          <w:rPr>
            <w:rStyle w:val="a9"/>
            <w:rFonts w:ascii="Times New Roman" w:hAnsi="Times New Roman"/>
          </w:rPr>
          <w:t>/</w:t>
        </w:r>
      </w:hyperlink>
      <w:r>
        <w:rPr>
          <w:rFonts w:ascii="Times New Roman" w:hAnsi="Times New Roman"/>
          <w:sz w:val="24"/>
          <w:szCs w:val="24"/>
        </w:rPr>
        <w:t xml:space="preserve">; </w:t>
      </w:r>
      <w:r>
        <w:rPr>
          <w:rFonts w:ascii="Times New Roman" w:hAnsi="Times New Roman"/>
          <w:sz w:val="24"/>
          <w:szCs w:val="24"/>
        </w:rPr>
        <w:br/>
      </w:r>
      <w:hyperlink r:id="rId103" w:history="1">
        <w:r>
          <w:rPr>
            <w:rStyle w:val="a9"/>
            <w:rFonts w:ascii="Times New Roman" w:hAnsi="Times New Roman"/>
            <w:lang w:val="en-US"/>
          </w:rPr>
          <w:t>https</w:t>
        </w:r>
        <w:r>
          <w:rPr>
            <w:rStyle w:val="a9"/>
            <w:rFonts w:ascii="Times New Roman" w:hAnsi="Times New Roman"/>
          </w:rPr>
          <w:t>://</w:t>
        </w:r>
        <w:r>
          <w:rPr>
            <w:rStyle w:val="a9"/>
            <w:rFonts w:ascii="Times New Roman" w:hAnsi="Times New Roman"/>
            <w:lang w:val="en-US"/>
          </w:rPr>
          <w:t>www</w:t>
        </w:r>
        <w:r>
          <w:rPr>
            <w:rStyle w:val="a9"/>
            <w:rFonts w:ascii="Times New Roman" w:hAnsi="Times New Roman"/>
          </w:rPr>
          <w:t>.</w:t>
        </w:r>
        <w:r>
          <w:rPr>
            <w:rStyle w:val="a9"/>
            <w:rFonts w:ascii="Times New Roman" w:hAnsi="Times New Roman"/>
            <w:lang w:val="en-US"/>
          </w:rPr>
          <w:t>moex</w:t>
        </w:r>
        <w:r>
          <w:rPr>
            <w:rStyle w:val="a9"/>
            <w:rFonts w:ascii="Times New Roman" w:hAnsi="Times New Roman"/>
          </w:rPr>
          <w:t>.</w:t>
        </w:r>
        <w:r>
          <w:rPr>
            <w:rStyle w:val="a9"/>
            <w:rFonts w:ascii="Times New Roman" w:hAnsi="Times New Roman"/>
            <w:lang w:val="en-US"/>
          </w:rPr>
          <w:t>com</w:t>
        </w:r>
        <w:r>
          <w:rPr>
            <w:rStyle w:val="a9"/>
            <w:rFonts w:ascii="Times New Roman" w:hAnsi="Times New Roman"/>
          </w:rPr>
          <w:t>/</w:t>
        </w:r>
      </w:hyperlink>
      <w:r>
        <w:rPr>
          <w:rFonts w:ascii="Times New Roman" w:hAnsi="Times New Roman"/>
          <w:sz w:val="24"/>
          <w:szCs w:val="24"/>
        </w:rPr>
        <w:t xml:space="preserve">; </w:t>
      </w:r>
      <w:hyperlink r:id="rId104" w:history="1">
        <w:r>
          <w:rPr>
            <w:rStyle w:val="a9"/>
            <w:rFonts w:ascii="Times New Roman" w:hAnsi="Times New Roman"/>
            <w:lang w:val="en-US"/>
          </w:rPr>
          <w:t>https</w:t>
        </w:r>
        <w:r>
          <w:rPr>
            <w:rStyle w:val="a9"/>
            <w:rFonts w:ascii="Times New Roman" w:hAnsi="Times New Roman"/>
          </w:rPr>
          <w:t>://</w:t>
        </w:r>
        <w:r>
          <w:rPr>
            <w:rStyle w:val="a9"/>
            <w:rFonts w:ascii="Times New Roman" w:hAnsi="Times New Roman"/>
            <w:lang w:val="en-US"/>
          </w:rPr>
          <w:t>www</w:t>
        </w:r>
        <w:r>
          <w:rPr>
            <w:rStyle w:val="a9"/>
            <w:rFonts w:ascii="Times New Roman" w:hAnsi="Times New Roman"/>
          </w:rPr>
          <w:t>.</w:t>
        </w:r>
        <w:r>
          <w:rPr>
            <w:rStyle w:val="a9"/>
            <w:rFonts w:ascii="Times New Roman" w:hAnsi="Times New Roman"/>
            <w:lang w:val="en-US"/>
          </w:rPr>
          <w:t>cbr</w:t>
        </w:r>
        <w:r>
          <w:rPr>
            <w:rStyle w:val="a9"/>
            <w:rFonts w:ascii="Times New Roman" w:hAnsi="Times New Roman"/>
          </w:rPr>
          <w:t>.</w:t>
        </w:r>
        <w:r>
          <w:rPr>
            <w:rStyle w:val="a9"/>
            <w:rFonts w:ascii="Times New Roman" w:hAnsi="Times New Roman"/>
            <w:lang w:val="en-US"/>
          </w:rPr>
          <w:t>ru</w:t>
        </w:r>
        <w:r>
          <w:rPr>
            <w:rStyle w:val="a9"/>
            <w:rFonts w:ascii="Times New Roman" w:hAnsi="Times New Roman"/>
          </w:rPr>
          <w:t>/</w:t>
        </w:r>
      </w:hyperlink>
      <w:r>
        <w:rPr>
          <w:rFonts w:ascii="Times New Roman" w:hAnsi="Times New Roman"/>
          <w:sz w:val="24"/>
          <w:szCs w:val="24"/>
        </w:rPr>
        <w:t>.</w:t>
      </w:r>
    </w:p>
    <w:p w14:paraId="05F50A34" w14:textId="77777777" w:rsidR="008C0A68" w:rsidRDefault="008C0A68" w:rsidP="008C0A68">
      <w:pPr>
        <w:spacing w:line="360" w:lineRule="auto"/>
        <w:ind w:firstLine="708"/>
        <w:jc w:val="both"/>
        <w:rPr>
          <w:szCs w:val="24"/>
        </w:rPr>
      </w:pPr>
      <w:r>
        <w:rPr>
          <w:szCs w:val="24"/>
        </w:rPr>
        <w:t xml:space="preserve">Подтверждением необходимости обесценения тестируемого актива является отзыв (аннулирование) у контрагента лицензии по осуществлению основного вида деятельности. </w:t>
      </w:r>
    </w:p>
    <w:p w14:paraId="24950D7D" w14:textId="77777777" w:rsidR="008C0A68" w:rsidRDefault="008C0A68" w:rsidP="008C0A68">
      <w:pPr>
        <w:spacing w:line="360" w:lineRule="auto"/>
        <w:ind w:firstLine="708"/>
        <w:jc w:val="both"/>
        <w:rPr>
          <w:rFonts w:ascii="Calibri" w:hAnsi="Calibri"/>
          <w:sz w:val="22"/>
          <w:szCs w:val="22"/>
        </w:rPr>
      </w:pPr>
    </w:p>
    <w:p w14:paraId="0533286A" w14:textId="77777777" w:rsidR="008C0A68" w:rsidRDefault="008C0A68" w:rsidP="004872F3">
      <w:pPr>
        <w:pStyle w:val="a7"/>
        <w:keepLines/>
        <w:numPr>
          <w:ilvl w:val="1"/>
          <w:numId w:val="30"/>
        </w:numPr>
        <w:spacing w:after="0" w:line="360" w:lineRule="auto"/>
        <w:ind w:left="709" w:hanging="709"/>
        <w:jc w:val="both"/>
        <w:rPr>
          <w:rFonts w:ascii="Times New Roman" w:hAnsi="Times New Roman"/>
          <w:b/>
          <w:sz w:val="24"/>
          <w:szCs w:val="24"/>
        </w:rPr>
      </w:pPr>
      <w:r>
        <w:rPr>
          <w:rFonts w:ascii="Times New Roman" w:hAnsi="Times New Roman"/>
          <w:b/>
          <w:sz w:val="24"/>
          <w:szCs w:val="24"/>
        </w:rPr>
        <w:t>Признаки обесценения актива (контрагент – физическое лицо):</w:t>
      </w:r>
    </w:p>
    <w:p w14:paraId="16A2203C" w14:textId="77777777" w:rsidR="008C0A68" w:rsidRDefault="008C0A68" w:rsidP="004872F3">
      <w:pPr>
        <w:pStyle w:val="a7"/>
        <w:numPr>
          <w:ilvl w:val="2"/>
          <w:numId w:val="30"/>
        </w:numPr>
        <w:spacing w:after="0" w:line="360" w:lineRule="auto"/>
        <w:jc w:val="both"/>
        <w:rPr>
          <w:rFonts w:ascii="Times New Roman" w:hAnsi="Times New Roman"/>
          <w:b/>
          <w:i/>
          <w:sz w:val="24"/>
          <w:szCs w:val="24"/>
        </w:rPr>
      </w:pPr>
      <w:r>
        <w:rPr>
          <w:rFonts w:ascii="Times New Roman" w:hAnsi="Times New Roman"/>
          <w:b/>
          <w:i/>
          <w:sz w:val="24"/>
          <w:szCs w:val="24"/>
        </w:rPr>
        <w:t>Наличие задолженности контрагента по исполнительному производству.</w:t>
      </w:r>
    </w:p>
    <w:p w14:paraId="64BB5A56" w14:textId="77777777" w:rsidR="008C0A68" w:rsidRDefault="008C0A68" w:rsidP="008C0A68">
      <w:pPr>
        <w:spacing w:line="360" w:lineRule="auto"/>
        <w:ind w:firstLine="708"/>
        <w:jc w:val="both"/>
        <w:rPr>
          <w:szCs w:val="24"/>
        </w:rPr>
      </w:pPr>
      <w:r>
        <w:rPr>
          <w:szCs w:val="24"/>
        </w:rPr>
        <w:t>Источник информации – официальный сайт Федеральной службы судебных приставов</w:t>
      </w:r>
      <w:r>
        <w:rPr>
          <w:rStyle w:val="a9"/>
        </w:rPr>
        <w:t>.</w:t>
      </w:r>
      <w:r>
        <w:rPr>
          <w:szCs w:val="24"/>
        </w:rPr>
        <w:t xml:space="preserve"> </w:t>
      </w:r>
    </w:p>
    <w:p w14:paraId="02858C75" w14:textId="77777777" w:rsidR="008C0A68" w:rsidRDefault="008C0A68" w:rsidP="008C0A68">
      <w:pPr>
        <w:spacing w:line="360" w:lineRule="auto"/>
        <w:ind w:firstLine="708"/>
        <w:jc w:val="both"/>
        <w:rPr>
          <w:szCs w:val="24"/>
        </w:rPr>
      </w:pPr>
      <w:r>
        <w:rPr>
          <w:szCs w:val="24"/>
        </w:rPr>
        <w:t>Подтверждением необходимости обесценения тестируемого актива является наличие задолженности по исполнительному производству в совокупном объеме более 300 тысяч (триста тысяч) рублей.</w:t>
      </w:r>
    </w:p>
    <w:p w14:paraId="586A179B" w14:textId="77777777" w:rsidR="008C0A68" w:rsidRDefault="008C0A68" w:rsidP="008C0A68">
      <w:pPr>
        <w:spacing w:line="360" w:lineRule="auto"/>
        <w:ind w:firstLine="708"/>
        <w:jc w:val="both"/>
        <w:rPr>
          <w:szCs w:val="24"/>
        </w:rPr>
      </w:pPr>
      <w:r>
        <w:rPr>
          <w:szCs w:val="24"/>
        </w:rPr>
        <w:t>В случае предоставления контрагентом документов, подтверждающих факт оплаты задолженности либо факт оспаривания задолженности в судебном порядке, а также при наличии информации об отзыве требования об оплате, указанная задолженность к анализу не принимается.</w:t>
      </w:r>
    </w:p>
    <w:p w14:paraId="79186A80" w14:textId="77777777" w:rsidR="008C0A68" w:rsidRDefault="008C0A68" w:rsidP="004872F3">
      <w:pPr>
        <w:pStyle w:val="a7"/>
        <w:numPr>
          <w:ilvl w:val="2"/>
          <w:numId w:val="30"/>
        </w:numPr>
        <w:spacing w:after="0" w:line="360" w:lineRule="auto"/>
        <w:jc w:val="both"/>
        <w:rPr>
          <w:rFonts w:ascii="Times New Roman" w:hAnsi="Times New Roman"/>
          <w:b/>
          <w:i/>
          <w:sz w:val="24"/>
          <w:szCs w:val="24"/>
        </w:rPr>
      </w:pPr>
      <w:r>
        <w:rPr>
          <w:rFonts w:ascii="Times New Roman" w:hAnsi="Times New Roman"/>
          <w:b/>
          <w:i/>
          <w:sz w:val="24"/>
          <w:szCs w:val="24"/>
        </w:rPr>
        <w:t>Получение сведений о возбуждении уголовного дела в отношении физического лица или объявления его в розыск.</w:t>
      </w:r>
    </w:p>
    <w:p w14:paraId="38BAB580" w14:textId="77777777" w:rsidR="008C0A68" w:rsidRDefault="008C0A68" w:rsidP="008C0A68">
      <w:pPr>
        <w:spacing w:line="360" w:lineRule="auto"/>
        <w:ind w:firstLine="709"/>
        <w:jc w:val="both"/>
        <w:rPr>
          <w:szCs w:val="24"/>
        </w:rPr>
      </w:pPr>
      <w:r>
        <w:rPr>
          <w:szCs w:val="24"/>
        </w:rPr>
        <w:t>Источники информации – официальные сайты российских и иностранных информационных агентств, официальные сайты органов внутренних дел и судебных органов. Обесценение производится на дату получения такой информации.</w:t>
      </w:r>
    </w:p>
    <w:p w14:paraId="6DD1B2DC" w14:textId="77777777" w:rsidR="008C0A68" w:rsidRDefault="008C0A68" w:rsidP="008C0A68">
      <w:pPr>
        <w:spacing w:line="360" w:lineRule="auto"/>
        <w:ind w:firstLine="709"/>
        <w:jc w:val="both"/>
        <w:rPr>
          <w:szCs w:val="24"/>
        </w:rPr>
      </w:pPr>
    </w:p>
    <w:p w14:paraId="20C78714" w14:textId="77777777" w:rsidR="008C0A68" w:rsidRDefault="008C0A68" w:rsidP="004872F3">
      <w:pPr>
        <w:pStyle w:val="a7"/>
        <w:keepLines/>
        <w:numPr>
          <w:ilvl w:val="1"/>
          <w:numId w:val="30"/>
        </w:numPr>
        <w:spacing w:after="0" w:line="360" w:lineRule="auto"/>
        <w:ind w:left="709" w:hanging="709"/>
        <w:jc w:val="both"/>
        <w:rPr>
          <w:rFonts w:ascii="Times New Roman" w:hAnsi="Times New Roman"/>
          <w:b/>
          <w:sz w:val="24"/>
          <w:szCs w:val="24"/>
        </w:rPr>
      </w:pPr>
      <w:r>
        <w:rPr>
          <w:rFonts w:ascii="Times New Roman" w:hAnsi="Times New Roman"/>
          <w:b/>
          <w:sz w:val="24"/>
          <w:szCs w:val="24"/>
        </w:rPr>
        <w:t>Признаки обесценения, общие для физических и юридических лиц.</w:t>
      </w:r>
    </w:p>
    <w:p w14:paraId="2195C623" w14:textId="77777777" w:rsidR="008C0A68" w:rsidRDefault="008C0A68" w:rsidP="004872F3">
      <w:pPr>
        <w:pStyle w:val="a7"/>
        <w:numPr>
          <w:ilvl w:val="2"/>
          <w:numId w:val="30"/>
        </w:numPr>
        <w:spacing w:after="0" w:line="360" w:lineRule="auto"/>
        <w:jc w:val="both"/>
        <w:rPr>
          <w:rFonts w:ascii="Times New Roman" w:hAnsi="Times New Roman"/>
          <w:b/>
          <w:i/>
          <w:sz w:val="24"/>
          <w:szCs w:val="24"/>
        </w:rPr>
      </w:pPr>
      <w:r>
        <w:rPr>
          <w:rFonts w:ascii="Times New Roman" w:hAnsi="Times New Roman"/>
          <w:b/>
          <w:i/>
          <w:sz w:val="24"/>
          <w:szCs w:val="24"/>
        </w:rPr>
        <w:t>Просрочка исполнения обязательства контрагентом перед Фондом.</w:t>
      </w:r>
    </w:p>
    <w:p w14:paraId="09DEE537" w14:textId="77777777" w:rsidR="008C0A68" w:rsidRDefault="008C0A68" w:rsidP="008C0A68">
      <w:pPr>
        <w:spacing w:line="360" w:lineRule="auto"/>
        <w:ind w:firstLine="709"/>
        <w:jc w:val="both"/>
        <w:rPr>
          <w:szCs w:val="24"/>
        </w:rPr>
      </w:pPr>
      <w:r>
        <w:rPr>
          <w:szCs w:val="24"/>
        </w:rPr>
        <w:t>Подтверждением необходимости обесценения тестируемого актива является наличие по состоянию на дату тестирования просрочки контрагентом исполнения обязательства перед Фондом на срок более срока признания задолженности операционной, но менее, чем на срок, при котором признается дефолт.</w:t>
      </w:r>
    </w:p>
    <w:p w14:paraId="470C20CF" w14:textId="77777777" w:rsidR="008C0A68" w:rsidRDefault="008C0A68" w:rsidP="008C0A68">
      <w:pPr>
        <w:spacing w:line="360" w:lineRule="auto"/>
        <w:ind w:firstLine="709"/>
        <w:jc w:val="both"/>
        <w:rPr>
          <w:szCs w:val="24"/>
        </w:rPr>
      </w:pPr>
      <w:r>
        <w:rPr>
          <w:szCs w:val="24"/>
        </w:rPr>
        <w:lastRenderedPageBreak/>
        <w:t>Управляющая компания имеет право не считать обесцененной задолженность (кроме обязательств по операциям на рынке репо и с производными инструментами), просроченную на один день, в случае наличия документов (копий документов), свидетельствующих о своевременном исполнении обязательств. Такое решение оформляется мотивированным суждением Управляющей компании с приложением копии подтверждающих документов.</w:t>
      </w:r>
    </w:p>
    <w:p w14:paraId="37537706" w14:textId="77777777" w:rsidR="008C0A68" w:rsidRDefault="008C0A68" w:rsidP="008C0A68">
      <w:pPr>
        <w:spacing w:line="360" w:lineRule="auto"/>
        <w:ind w:firstLine="709"/>
        <w:jc w:val="both"/>
        <w:rPr>
          <w:szCs w:val="24"/>
        </w:rPr>
      </w:pPr>
      <w:r>
        <w:rPr>
          <w:szCs w:val="24"/>
        </w:rPr>
        <w:t xml:space="preserve">В случае просрочки по одному из обязательств должника обесценению подлежат все тестируемые активы, характеризующиеся будущими денежными потоками, в которых данное лицо выступает контрагентом Фонда. При этом в расчете справедливой стоимости всех обесцененных активов данного контрагента используется максимальная из вероятностей дефолта, рассчитанных в отдельности для каждой просроченной задолженности. </w:t>
      </w:r>
    </w:p>
    <w:p w14:paraId="1809E225" w14:textId="77777777" w:rsidR="008C0A68" w:rsidRDefault="008C0A68" w:rsidP="004872F3">
      <w:pPr>
        <w:pStyle w:val="a7"/>
        <w:keepNext/>
        <w:numPr>
          <w:ilvl w:val="2"/>
          <w:numId w:val="30"/>
        </w:numPr>
        <w:spacing w:after="0" w:line="360" w:lineRule="auto"/>
        <w:jc w:val="both"/>
        <w:rPr>
          <w:rFonts w:ascii="Times New Roman" w:hAnsi="Times New Roman"/>
          <w:b/>
          <w:i/>
          <w:sz w:val="24"/>
          <w:szCs w:val="24"/>
        </w:rPr>
      </w:pPr>
      <w:r>
        <w:rPr>
          <w:rFonts w:ascii="Times New Roman" w:hAnsi="Times New Roman"/>
          <w:b/>
          <w:i/>
          <w:sz w:val="24"/>
          <w:szCs w:val="24"/>
        </w:rPr>
        <w:t>Уступка заемщику со стороны кредитора.</w:t>
      </w:r>
    </w:p>
    <w:p w14:paraId="4E356B6D" w14:textId="77777777" w:rsidR="008C0A68" w:rsidRDefault="008C0A68" w:rsidP="008C0A68">
      <w:pPr>
        <w:spacing w:line="360" w:lineRule="auto"/>
        <w:ind w:firstLine="709"/>
        <w:jc w:val="both"/>
        <w:rPr>
          <w:szCs w:val="24"/>
        </w:rPr>
      </w:pPr>
      <w:r>
        <w:rPr>
          <w:szCs w:val="24"/>
        </w:rPr>
        <w:t>Предоставление кредитором (Фондом) уступки своему заемщику или дебитору в силу экономических причин или договорных условий, связанных с финансовыми затруднениями этого заемщика, которую кредитор не предоставил бы в ином случае (в том числе реструктуризация задолженности с уменьшением ставки, пролонгацией задолженности или отсрочкой всех или части платежей).</w:t>
      </w:r>
    </w:p>
    <w:p w14:paraId="72670119" w14:textId="77777777" w:rsidR="008C0A68" w:rsidRDefault="008C0A68" w:rsidP="008C0A68">
      <w:pPr>
        <w:spacing w:line="360" w:lineRule="auto"/>
        <w:ind w:firstLine="709"/>
        <w:jc w:val="both"/>
        <w:rPr>
          <w:szCs w:val="24"/>
        </w:rPr>
      </w:pPr>
    </w:p>
    <w:p w14:paraId="74A20760" w14:textId="77777777" w:rsidR="008C0A68" w:rsidRDefault="008C0A68" w:rsidP="004872F3">
      <w:pPr>
        <w:pStyle w:val="a7"/>
        <w:keepLines/>
        <w:numPr>
          <w:ilvl w:val="1"/>
          <w:numId w:val="30"/>
        </w:numPr>
        <w:spacing w:after="0" w:line="360" w:lineRule="auto"/>
        <w:ind w:left="709" w:hanging="709"/>
        <w:jc w:val="both"/>
        <w:rPr>
          <w:rFonts w:ascii="Times New Roman" w:hAnsi="Times New Roman"/>
          <w:b/>
          <w:sz w:val="24"/>
          <w:szCs w:val="24"/>
        </w:rPr>
      </w:pPr>
      <w:r>
        <w:rPr>
          <w:rFonts w:ascii="Times New Roman" w:hAnsi="Times New Roman"/>
          <w:b/>
          <w:sz w:val="24"/>
          <w:szCs w:val="24"/>
        </w:rPr>
        <w:t>Признаки дефолта контрагентов.</w:t>
      </w:r>
    </w:p>
    <w:p w14:paraId="0701F247" w14:textId="77777777" w:rsidR="008C0A68" w:rsidRDefault="008C0A68" w:rsidP="004872F3">
      <w:pPr>
        <w:pStyle w:val="a7"/>
        <w:keepNext/>
        <w:numPr>
          <w:ilvl w:val="2"/>
          <w:numId w:val="30"/>
        </w:numPr>
        <w:spacing w:after="0" w:line="360" w:lineRule="auto"/>
        <w:jc w:val="both"/>
        <w:rPr>
          <w:rFonts w:ascii="Times New Roman" w:hAnsi="Times New Roman"/>
          <w:sz w:val="24"/>
          <w:szCs w:val="24"/>
        </w:rPr>
      </w:pPr>
      <w:r>
        <w:rPr>
          <w:rFonts w:ascii="Times New Roman" w:hAnsi="Times New Roman"/>
          <w:sz w:val="24"/>
          <w:szCs w:val="24"/>
        </w:rPr>
        <w:t>Наличие информации о возбуждении процедуры банкротства.</w:t>
      </w:r>
    </w:p>
    <w:p w14:paraId="70B83FC4" w14:textId="77777777" w:rsidR="008C0A68" w:rsidRDefault="008C0A68" w:rsidP="008C0A68">
      <w:pPr>
        <w:spacing w:line="360" w:lineRule="auto"/>
        <w:ind w:firstLine="709"/>
        <w:jc w:val="both"/>
        <w:rPr>
          <w:szCs w:val="24"/>
        </w:rPr>
      </w:pPr>
      <w:r>
        <w:rPr>
          <w:szCs w:val="24"/>
        </w:rPr>
        <w:t xml:space="preserve">Источник информации – Единый федеральный реестр сведений о банкротстве по адресу </w:t>
      </w:r>
      <w:r>
        <w:rPr>
          <w:rStyle w:val="a9"/>
        </w:rPr>
        <w:t>http://bankrot.fedresurs.ru</w:t>
      </w:r>
      <w:r>
        <w:rPr>
          <w:szCs w:val="24"/>
        </w:rPr>
        <w:t xml:space="preserve">. </w:t>
      </w:r>
    </w:p>
    <w:p w14:paraId="67734853" w14:textId="77777777" w:rsidR="008C0A68" w:rsidRDefault="008C0A68" w:rsidP="008C0A68">
      <w:pPr>
        <w:spacing w:line="360" w:lineRule="auto"/>
        <w:ind w:firstLine="708"/>
        <w:jc w:val="both"/>
        <w:rPr>
          <w:szCs w:val="24"/>
        </w:rPr>
      </w:pPr>
      <w:r>
        <w:rPr>
          <w:szCs w:val="24"/>
        </w:rPr>
        <w:t>Подтверждением необходимости обесценения тестируемого актива является официальное опубликование решения о признании эмитента/должника банкротом или официальное опубликование решения о начале применения к контрагенту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 или ликвидации.</w:t>
      </w:r>
    </w:p>
    <w:p w14:paraId="4CAA7763" w14:textId="77777777" w:rsidR="008C0A68" w:rsidRDefault="008C0A68" w:rsidP="008C0A68">
      <w:pPr>
        <w:spacing w:line="360" w:lineRule="auto"/>
        <w:jc w:val="both"/>
        <w:rPr>
          <w:szCs w:val="24"/>
        </w:rPr>
      </w:pPr>
      <w:r>
        <w:rPr>
          <w:b/>
          <w:i/>
          <w:szCs w:val="24"/>
        </w:rPr>
        <w:t>3.4.2.</w:t>
      </w:r>
      <w:r>
        <w:rPr>
          <w:szCs w:val="24"/>
        </w:rPr>
        <w:t xml:space="preserve"> Официальное опубликование в соответствии с федеральными законами и иными нормативными правовыми актами Российской Федерации информации о просрочке исполнения эмитентом своих обязательств.</w:t>
      </w:r>
    </w:p>
    <w:p w14:paraId="42B2E5A2" w14:textId="77777777" w:rsidR="008C0A68" w:rsidRDefault="008C0A68" w:rsidP="008C0A68">
      <w:pPr>
        <w:spacing w:line="360" w:lineRule="auto"/>
        <w:jc w:val="both"/>
        <w:rPr>
          <w:szCs w:val="24"/>
        </w:rPr>
      </w:pPr>
      <w:r>
        <w:rPr>
          <w:b/>
          <w:i/>
          <w:szCs w:val="24"/>
        </w:rPr>
        <w:t>3.4.3.</w:t>
      </w:r>
      <w:r>
        <w:rPr>
          <w:szCs w:val="24"/>
        </w:rPr>
        <w:t xml:space="preserve"> </w:t>
      </w:r>
      <w:r>
        <w:rPr>
          <w:szCs w:val="24"/>
        </w:rPr>
        <w:tab/>
        <w:t>Официальное опубликование информации о ликвидации юридического лица, за исключением случаев поглощения и присоединения.</w:t>
      </w:r>
    </w:p>
    <w:p w14:paraId="64205B6E" w14:textId="77777777" w:rsidR="008C0A68" w:rsidRDefault="008C0A68" w:rsidP="008C0A68">
      <w:pPr>
        <w:spacing w:line="360" w:lineRule="auto"/>
        <w:jc w:val="both"/>
        <w:rPr>
          <w:szCs w:val="24"/>
        </w:rPr>
      </w:pPr>
      <w:r>
        <w:rPr>
          <w:b/>
          <w:i/>
          <w:szCs w:val="24"/>
        </w:rPr>
        <w:lastRenderedPageBreak/>
        <w:t>3.4.4.</w:t>
      </w:r>
      <w:r>
        <w:rPr>
          <w:szCs w:val="24"/>
        </w:rPr>
        <w:tab/>
        <w:t>Присвоение контрагенту рейтинга SD (Selected Default) или D (Default) со стороны рейтинговых агентств или внутренний рейтинг уровня D.</w:t>
      </w:r>
    </w:p>
    <w:p w14:paraId="48607429" w14:textId="77777777" w:rsidR="008C0A68" w:rsidRDefault="008C0A68" w:rsidP="008C0A68">
      <w:pPr>
        <w:spacing w:line="360" w:lineRule="auto"/>
        <w:jc w:val="both"/>
        <w:rPr>
          <w:szCs w:val="24"/>
        </w:rPr>
      </w:pPr>
      <w:r>
        <w:rPr>
          <w:b/>
          <w:i/>
          <w:szCs w:val="24"/>
        </w:rPr>
        <w:t>3.4.5.</w:t>
      </w:r>
      <w:r>
        <w:rPr>
          <w:szCs w:val="24"/>
        </w:rPr>
        <w:tab/>
        <w:t>Обнаружение кредитором (Фондом) невозможности заемщика исполнить обязательства в силу каких-либо обстоятельств без принятия специальных мер (например, реализации залога). Обесценение производится на дату получения такой информации.</w:t>
      </w:r>
    </w:p>
    <w:p w14:paraId="375523A2" w14:textId="77777777" w:rsidR="008C0A68" w:rsidRDefault="008C0A68" w:rsidP="008C0A68">
      <w:pPr>
        <w:spacing w:line="360" w:lineRule="auto"/>
        <w:jc w:val="both"/>
        <w:rPr>
          <w:szCs w:val="24"/>
        </w:rPr>
      </w:pPr>
      <w:r>
        <w:rPr>
          <w:b/>
          <w:i/>
          <w:szCs w:val="24"/>
        </w:rPr>
        <w:t>3.4.6.</w:t>
      </w:r>
      <w:r>
        <w:rPr>
          <w:szCs w:val="24"/>
        </w:rPr>
        <w:tab/>
        <w:t>Получение сведений об осуждении физического лица по уголовным преступлениям.</w:t>
      </w:r>
    </w:p>
    <w:p w14:paraId="5844D66A" w14:textId="77777777" w:rsidR="008C0A68" w:rsidRDefault="008C0A68" w:rsidP="008C0A68">
      <w:pPr>
        <w:spacing w:line="360" w:lineRule="auto"/>
        <w:jc w:val="both"/>
        <w:rPr>
          <w:szCs w:val="24"/>
        </w:rPr>
      </w:pPr>
      <w:r>
        <w:rPr>
          <w:szCs w:val="24"/>
        </w:rPr>
        <w:t>Подтверждением необходимости обесценения тестируемого актива является наличие по состоянию на отчетную дату вступившего в законную силу решения суда о привлечении контрагента к уголовной ответственности, связанной с ограничением свободы. Обесценение производится на дату получения такой информации.</w:t>
      </w:r>
    </w:p>
    <w:p w14:paraId="63E2952B" w14:textId="77777777" w:rsidR="008C0A68" w:rsidRDefault="008C0A68" w:rsidP="008C0A68">
      <w:pPr>
        <w:spacing w:line="360" w:lineRule="auto"/>
        <w:jc w:val="both"/>
        <w:rPr>
          <w:szCs w:val="24"/>
        </w:rPr>
      </w:pPr>
      <w:r>
        <w:rPr>
          <w:b/>
          <w:i/>
          <w:szCs w:val="24"/>
        </w:rPr>
        <w:t>3.4.7.</w:t>
      </w:r>
      <w:r>
        <w:rPr>
          <w:szCs w:val="24"/>
        </w:rPr>
        <w:t xml:space="preserve"> Получение сведений об объявлении физического лица пропавшим без вести или о наступлении смерти физического лица. Обесценение производится на дату получения такой информации</w:t>
      </w:r>
    </w:p>
    <w:p w14:paraId="06818BB6" w14:textId="77777777" w:rsidR="008C0A68" w:rsidRDefault="008C0A68" w:rsidP="008C0A68">
      <w:pPr>
        <w:spacing w:line="360" w:lineRule="auto"/>
        <w:jc w:val="both"/>
        <w:rPr>
          <w:szCs w:val="24"/>
        </w:rPr>
      </w:pPr>
      <w:r>
        <w:rPr>
          <w:b/>
          <w:i/>
          <w:szCs w:val="24"/>
        </w:rPr>
        <w:t>3.4.8.</w:t>
      </w:r>
      <w:r>
        <w:rPr>
          <w:szCs w:val="24"/>
        </w:rPr>
        <w:t xml:space="preserve"> </w:t>
      </w:r>
      <w:r>
        <w:rPr>
          <w:szCs w:val="24"/>
        </w:rPr>
        <w:tab/>
        <w:t xml:space="preserve">Нарушение заемщиком/контрагентом/дебитором условий погашения или выплаты процентных доходов по активу на срок более предельного (предельные сроки для различных видов активов приведены ниже в этом пункте), в случае если данная информация прямо или косвенно наблюдаема Управляющей компанией. </w:t>
      </w:r>
    </w:p>
    <w:p w14:paraId="32D9669C" w14:textId="77777777" w:rsidR="008C0A68" w:rsidRDefault="008C0A68" w:rsidP="008C0A68">
      <w:pPr>
        <w:spacing w:line="360" w:lineRule="auto"/>
        <w:jc w:val="both"/>
        <w:rPr>
          <w:szCs w:val="24"/>
        </w:rPr>
      </w:pPr>
      <w:r>
        <w:rPr>
          <w:b/>
          <w:szCs w:val="24"/>
        </w:rPr>
        <w:t>Предельные сроки просрочки, по истечении которых по активу признается дефолт</w:t>
      </w:r>
      <w:r>
        <w:rPr>
          <w:szCs w:val="24"/>
        </w:rPr>
        <w:t>:</w:t>
      </w:r>
    </w:p>
    <w:p w14:paraId="59424FED" w14:textId="77777777" w:rsidR="008C0A68" w:rsidRDefault="008C0A68" w:rsidP="008C0A68">
      <w:pPr>
        <w:spacing w:line="360" w:lineRule="auto"/>
        <w:jc w:val="both"/>
        <w:rPr>
          <w:szCs w:val="24"/>
        </w:rPr>
      </w:pPr>
      <w:r>
        <w:rPr>
          <w:szCs w:val="24"/>
        </w:rPr>
        <w:t>- Обязательства по облигациям российских эмитентов - 7  рабочих дней с даты выплаты купона и/или части/основной суммы долга, предусмотренной условиями выпуска. Данный срок используется только в случае наличия сообщений от эмитента, агента или иных уполномоченных лиц о намерении исполнить обязательства в ближайшие дни, т.е. о техническом характере просрочки. В случае отсутствия таких сообщений либо в случае объявления о дефолте дефолт считается наступившим со дня, следующего за установленным сроком исполнения обязательств.</w:t>
      </w:r>
    </w:p>
    <w:p w14:paraId="60012E75" w14:textId="4AE79EFB" w:rsidR="008C0A68" w:rsidRDefault="008C0A68" w:rsidP="008C0A68">
      <w:pPr>
        <w:spacing w:line="360" w:lineRule="auto"/>
        <w:jc w:val="both"/>
        <w:rPr>
          <w:szCs w:val="24"/>
        </w:rPr>
      </w:pPr>
      <w:r>
        <w:rPr>
          <w:szCs w:val="24"/>
        </w:rPr>
        <w:t>- Обязательства по выплате дохода по долевым активам (в т.ч. дивиденды, доходы по паям, распределяемая прибыль) - 25 рабочих дней с раскрытой даты завершения выплаты. Данный срок используется только при наличии сообщений о соответствующей выплате.</w:t>
      </w:r>
    </w:p>
    <w:p w14:paraId="286025E8" w14:textId="77777777" w:rsidR="008C0A68" w:rsidRDefault="008C0A68" w:rsidP="008C0A68">
      <w:pPr>
        <w:spacing w:line="360" w:lineRule="auto"/>
        <w:jc w:val="both"/>
        <w:rPr>
          <w:szCs w:val="24"/>
        </w:rPr>
      </w:pPr>
      <w:r>
        <w:rPr>
          <w:szCs w:val="24"/>
        </w:rPr>
        <w:t>- Обязательства по займам/кредитам юридических лиц - 30 календарных дней с даты выплаты процентов и/или частичного/полного погашения, предусмотренной условиями договора.</w:t>
      </w:r>
    </w:p>
    <w:p w14:paraId="0B9B023C" w14:textId="77777777" w:rsidR="008C0A68" w:rsidRDefault="008C0A68" w:rsidP="008C0A68">
      <w:pPr>
        <w:spacing w:line="360" w:lineRule="auto"/>
        <w:jc w:val="both"/>
        <w:rPr>
          <w:szCs w:val="24"/>
        </w:rPr>
      </w:pPr>
      <w:r>
        <w:rPr>
          <w:szCs w:val="24"/>
        </w:rPr>
        <w:t>- Обязательства на рынке производных инструментов, рынке РЕПО - 5 рабочих дней с даты, предусмотренной условиями сделки.</w:t>
      </w:r>
    </w:p>
    <w:p w14:paraId="54B1802D" w14:textId="77777777" w:rsidR="008C0A68" w:rsidRDefault="008C0A68" w:rsidP="008C0A68">
      <w:pPr>
        <w:spacing w:line="360" w:lineRule="auto"/>
        <w:jc w:val="both"/>
        <w:rPr>
          <w:szCs w:val="24"/>
        </w:rPr>
      </w:pPr>
      <w:r>
        <w:rPr>
          <w:szCs w:val="24"/>
        </w:rPr>
        <w:t>- Иная задолженность физических и юридических лиц перед Фондом - 90 календарных дней с даты, предусмотренной условиями сделки.</w:t>
      </w:r>
    </w:p>
    <w:p w14:paraId="388F2A05" w14:textId="77777777" w:rsidR="008C0A68" w:rsidRDefault="008C0A68" w:rsidP="008C0A68">
      <w:pPr>
        <w:pStyle w:val="a7"/>
        <w:keepLines/>
        <w:spacing w:after="0" w:line="360" w:lineRule="auto"/>
        <w:ind w:left="709"/>
        <w:jc w:val="both"/>
        <w:rPr>
          <w:rFonts w:ascii="Times New Roman" w:hAnsi="Times New Roman"/>
          <w:b/>
          <w:sz w:val="24"/>
          <w:szCs w:val="24"/>
        </w:rPr>
      </w:pPr>
    </w:p>
    <w:p w14:paraId="674BDC54" w14:textId="77777777" w:rsidR="008C0A68" w:rsidRDefault="008C0A68" w:rsidP="008C0A68">
      <w:pPr>
        <w:keepLines/>
        <w:spacing w:line="360" w:lineRule="auto"/>
        <w:jc w:val="both"/>
        <w:rPr>
          <w:szCs w:val="24"/>
        </w:rPr>
      </w:pPr>
      <w:r>
        <w:rPr>
          <w:szCs w:val="24"/>
        </w:rPr>
        <w:t>В случае возникновения дефолта по одному активу остальные активы, относящиеся к контрагенту, также считаются находящимися в дефолте, сам контрагент (заемщик/эмитент) считается находящимся в дефолте. В случае наступления событий, приравненных к дефолту, эмитент/контрагент/дебитор/заемщик считается находящимся в состоянии дефолта, все активы, относящиеся к нему, считаются находящимися в состоянии дефолта.</w:t>
      </w:r>
    </w:p>
    <w:p w14:paraId="64506C8A" w14:textId="77777777" w:rsidR="008C0A68" w:rsidRDefault="008C0A68" w:rsidP="008C0A68">
      <w:pPr>
        <w:keepLines/>
        <w:spacing w:line="360" w:lineRule="auto"/>
        <w:jc w:val="both"/>
        <w:rPr>
          <w:szCs w:val="24"/>
        </w:rPr>
      </w:pPr>
    </w:p>
    <w:p w14:paraId="7C60C4CB" w14:textId="77777777" w:rsidR="008C0A68" w:rsidRDefault="008C0A68" w:rsidP="004872F3">
      <w:pPr>
        <w:pStyle w:val="a7"/>
        <w:keepNext/>
        <w:keepLines/>
        <w:numPr>
          <w:ilvl w:val="1"/>
          <w:numId w:val="30"/>
        </w:numPr>
        <w:spacing w:after="0" w:line="360" w:lineRule="auto"/>
        <w:ind w:left="709" w:hanging="709"/>
        <w:jc w:val="both"/>
        <w:rPr>
          <w:rFonts w:ascii="Times New Roman" w:hAnsi="Times New Roman"/>
          <w:b/>
          <w:sz w:val="24"/>
          <w:szCs w:val="24"/>
        </w:rPr>
      </w:pPr>
      <w:r>
        <w:rPr>
          <w:rFonts w:ascii="Times New Roman" w:hAnsi="Times New Roman"/>
          <w:b/>
          <w:sz w:val="24"/>
          <w:szCs w:val="24"/>
        </w:rPr>
        <w:t>Выход из состояния обесценения или дефолта.</w:t>
      </w:r>
    </w:p>
    <w:p w14:paraId="276A97B5" w14:textId="77777777" w:rsidR="008C0A68" w:rsidRDefault="008C0A68" w:rsidP="008C0A68">
      <w:pPr>
        <w:spacing w:line="360" w:lineRule="auto"/>
        <w:ind w:firstLine="709"/>
        <w:jc w:val="both"/>
        <w:rPr>
          <w:szCs w:val="24"/>
        </w:rPr>
      </w:pPr>
      <w:r>
        <w:rPr>
          <w:szCs w:val="24"/>
        </w:rPr>
        <w:t>В случае если на дату очередного тестирования не обнаружилось негативных факторов из числа перечисленных в п.3.1 – 3.4, действовавших в отношении контрагента на момент предыдущего тестирования, в том числе вырос внешний/внутренний рейтинг контрагента, или прекратилась процедура банкротства, или контрагент полностью погасил просроченную / реструктурированную задолженность, то обесценение активов контрагента, связанное с данными негативными событиями, более не принимается в расчет, и справедливая стоимость активов с учетом кредитного риска определяется в соответствии с актуальными условиями на дату расчета.</w:t>
      </w:r>
    </w:p>
    <w:p w14:paraId="3F4ACD40" w14:textId="77777777" w:rsidR="008C0A68" w:rsidRDefault="008C0A68" w:rsidP="008C0A68">
      <w:pPr>
        <w:pStyle w:val="a7"/>
        <w:keepLines/>
        <w:spacing w:after="0" w:line="360" w:lineRule="auto"/>
        <w:ind w:left="709"/>
        <w:jc w:val="both"/>
        <w:rPr>
          <w:rFonts w:ascii="Times New Roman" w:hAnsi="Times New Roman"/>
          <w:b/>
          <w:sz w:val="24"/>
          <w:szCs w:val="24"/>
        </w:rPr>
      </w:pPr>
    </w:p>
    <w:p w14:paraId="33B0E991" w14:textId="77777777" w:rsidR="008C0A68" w:rsidRDefault="008C0A68" w:rsidP="004872F3">
      <w:pPr>
        <w:pStyle w:val="a7"/>
        <w:keepNext/>
        <w:keepLines/>
        <w:numPr>
          <w:ilvl w:val="1"/>
          <w:numId w:val="30"/>
        </w:numPr>
        <w:spacing w:after="0" w:line="360" w:lineRule="auto"/>
        <w:ind w:left="709" w:hanging="709"/>
        <w:jc w:val="both"/>
        <w:rPr>
          <w:rFonts w:ascii="Times New Roman" w:hAnsi="Times New Roman"/>
          <w:b/>
          <w:sz w:val="24"/>
          <w:szCs w:val="24"/>
        </w:rPr>
      </w:pPr>
      <w:r>
        <w:rPr>
          <w:rFonts w:ascii="Times New Roman" w:hAnsi="Times New Roman"/>
          <w:b/>
          <w:sz w:val="24"/>
          <w:szCs w:val="24"/>
        </w:rPr>
        <w:t>Документы, подтверждающие признаки обесценения и дефолта.</w:t>
      </w:r>
    </w:p>
    <w:p w14:paraId="24FD26EF" w14:textId="77777777" w:rsidR="008C0A68" w:rsidRDefault="008C0A68" w:rsidP="008C0A68">
      <w:pPr>
        <w:spacing w:line="360" w:lineRule="auto"/>
        <w:ind w:firstLine="709"/>
        <w:jc w:val="both"/>
        <w:rPr>
          <w:szCs w:val="24"/>
        </w:rPr>
      </w:pPr>
      <w:r>
        <w:rPr>
          <w:szCs w:val="24"/>
        </w:rPr>
        <w:t>Управляющая компания при выявлении негативных событий в отношении тестируемого актива предоставляет в специализированный депозитарий документы, подтверждающие указанные негативные события. Такими документами, в частности, могут быть:</w:t>
      </w:r>
    </w:p>
    <w:p w14:paraId="1ECB6EB3"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копии бухгалтерской отчетности контрагента;</w:t>
      </w:r>
    </w:p>
    <w:p w14:paraId="7D6294A0"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копии изображения на экране монитора, на которых полностью отображается информация о негативном событии, а также адрес сайта и текущая дата;</w:t>
      </w:r>
    </w:p>
    <w:p w14:paraId="49ECC8E4"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в отношении общедоступной информации в сети «Интернет», отображение которой невозможно на одном экране монитора, – письмо управляющей компании с указанием адреса сайта и приложением в виде полного текста информации о негативном событии;</w:t>
      </w:r>
    </w:p>
    <w:p w14:paraId="1BE3BBF4" w14:textId="77777777" w:rsidR="008C0A68" w:rsidRDefault="008C0A68" w:rsidP="004872F3">
      <w:pPr>
        <w:pStyle w:val="a7"/>
        <w:numPr>
          <w:ilvl w:val="0"/>
          <w:numId w:val="9"/>
        </w:numPr>
        <w:tabs>
          <w:tab w:val="left" w:pos="1134"/>
        </w:tabs>
        <w:autoSpaceDE w:val="0"/>
        <w:autoSpaceDN w:val="0"/>
        <w:spacing w:after="0" w:line="360" w:lineRule="auto"/>
        <w:ind w:hanging="11"/>
        <w:jc w:val="both"/>
        <w:rPr>
          <w:rFonts w:ascii="Times New Roman" w:hAnsi="Times New Roman"/>
          <w:sz w:val="24"/>
          <w:szCs w:val="24"/>
        </w:rPr>
      </w:pPr>
      <w:r>
        <w:rPr>
          <w:rFonts w:ascii="Times New Roman" w:hAnsi="Times New Roman"/>
          <w:sz w:val="24"/>
          <w:szCs w:val="24"/>
        </w:rPr>
        <w:t>в отношении печатных изданий – письмо управляющей компании с указанием названия печатного издания, даты и номера выпуска и приложением в виде копии страниц издания с информацией о негативном событии.</w:t>
      </w:r>
    </w:p>
    <w:p w14:paraId="0AAE536A" w14:textId="77777777" w:rsidR="008C0A68" w:rsidRDefault="008C0A68" w:rsidP="008C0A68">
      <w:pPr>
        <w:spacing w:line="360" w:lineRule="auto"/>
        <w:ind w:firstLine="709"/>
        <w:jc w:val="both"/>
        <w:rPr>
          <w:szCs w:val="24"/>
        </w:rPr>
      </w:pPr>
      <w:r>
        <w:rPr>
          <w:szCs w:val="24"/>
        </w:rPr>
        <w:t>В случае выявления признаков обесценения в отношении актива управляющая компания оформляет внутренний документ, содержащий:</w:t>
      </w:r>
    </w:p>
    <w:p w14:paraId="5CC2BFD4" w14:textId="77777777" w:rsidR="008C0A68" w:rsidRDefault="008C0A68" w:rsidP="008C0A68">
      <w:pPr>
        <w:spacing w:line="360" w:lineRule="auto"/>
        <w:ind w:firstLine="709"/>
        <w:jc w:val="both"/>
        <w:rPr>
          <w:szCs w:val="24"/>
        </w:rPr>
      </w:pPr>
      <w:r>
        <w:rPr>
          <w:szCs w:val="24"/>
        </w:rPr>
        <w:lastRenderedPageBreak/>
        <w:t>- сведения об активе, справедливая стоимость которого подлежит обесценению;</w:t>
      </w:r>
    </w:p>
    <w:p w14:paraId="36461C4E" w14:textId="77777777" w:rsidR="008C0A68" w:rsidRDefault="008C0A68" w:rsidP="008C0A68">
      <w:pPr>
        <w:spacing w:line="360" w:lineRule="auto"/>
        <w:ind w:firstLine="709"/>
        <w:jc w:val="both"/>
        <w:rPr>
          <w:szCs w:val="24"/>
        </w:rPr>
      </w:pPr>
      <w:r>
        <w:rPr>
          <w:szCs w:val="24"/>
        </w:rPr>
        <w:t>- информацию о выявленном признаке обесценения / дефолта с указанием источника информации или о факте просрочки обязательства;</w:t>
      </w:r>
    </w:p>
    <w:p w14:paraId="3AB8B294" w14:textId="77777777" w:rsidR="008C0A68" w:rsidRDefault="008C0A68" w:rsidP="008C0A68">
      <w:pPr>
        <w:spacing w:line="360" w:lineRule="auto"/>
        <w:ind w:firstLine="709"/>
        <w:jc w:val="both"/>
        <w:rPr>
          <w:szCs w:val="24"/>
        </w:rPr>
      </w:pPr>
      <w:r>
        <w:rPr>
          <w:szCs w:val="24"/>
        </w:rPr>
        <w:t>- информацию об используемой корректировке справедливой стоимости с обоснованием применения выбранных коэффициентов для расчета (в случае ее использования);</w:t>
      </w:r>
    </w:p>
    <w:p w14:paraId="5AA7B43A" w14:textId="77777777" w:rsidR="008C0A68" w:rsidRDefault="008C0A68" w:rsidP="008C0A68">
      <w:pPr>
        <w:spacing w:line="360" w:lineRule="auto"/>
        <w:ind w:firstLine="709"/>
        <w:jc w:val="both"/>
        <w:rPr>
          <w:szCs w:val="24"/>
        </w:rPr>
      </w:pPr>
      <w:r>
        <w:rPr>
          <w:szCs w:val="24"/>
        </w:rPr>
        <w:t>- информацию о наличии обоснованных причин не проводить корректировку справедливой стоимости активов ПИФ.</w:t>
      </w:r>
    </w:p>
    <w:p w14:paraId="6EB9F474" w14:textId="77777777" w:rsidR="008C0A68" w:rsidRDefault="008C0A68" w:rsidP="008C0A68">
      <w:pPr>
        <w:spacing w:line="360" w:lineRule="auto"/>
        <w:ind w:firstLine="709"/>
        <w:jc w:val="both"/>
        <w:rPr>
          <w:szCs w:val="24"/>
        </w:rPr>
      </w:pPr>
      <w:r>
        <w:rPr>
          <w:szCs w:val="24"/>
        </w:rPr>
        <w:t>Управляющая компания составляет такой внутренний документ на дату выявления признаков обесценения и направляет его в Специализированный депозитарий не позднее одного рабочего дня, следующего за датой выявления признаков обесценения.</w:t>
      </w:r>
    </w:p>
    <w:p w14:paraId="6EE3E8BE" w14:textId="77777777" w:rsidR="008C0A68" w:rsidRDefault="008C0A68" w:rsidP="008C0A68">
      <w:pPr>
        <w:spacing w:line="360" w:lineRule="auto"/>
        <w:ind w:firstLine="709"/>
        <w:jc w:val="both"/>
        <w:rPr>
          <w:szCs w:val="24"/>
        </w:rPr>
      </w:pPr>
      <w:r>
        <w:rPr>
          <w:szCs w:val="24"/>
        </w:rPr>
        <w:t>В случае появления у Управляющей компании сведений, подтверждающих выход актива из состояния обесценения или дефолта, Управляющая компания производит внеочередное тестирование актива на обесценение и не позднее следующего рабочего дня направляет в Специализированный депозитарий внутренний документ с расчетом справедливой стоимости актива вместе с соответствующими подтверждающими документами и обоснованием вывода актива из обесценения или дефолта..</w:t>
      </w:r>
    </w:p>
    <w:p w14:paraId="3864C2BA" w14:textId="77777777" w:rsidR="008C0A68" w:rsidRDefault="008C0A68" w:rsidP="004872F3">
      <w:pPr>
        <w:keepNext/>
        <w:keepLines/>
        <w:numPr>
          <w:ilvl w:val="0"/>
          <w:numId w:val="29"/>
        </w:numPr>
        <w:spacing w:before="120" w:after="120" w:line="360" w:lineRule="auto"/>
        <w:ind w:left="0" w:firstLine="0"/>
        <w:jc w:val="center"/>
        <w:rPr>
          <w:b/>
          <w:szCs w:val="24"/>
        </w:rPr>
      </w:pPr>
      <w:r>
        <w:rPr>
          <w:b/>
          <w:szCs w:val="24"/>
        </w:rPr>
        <w:t>Оценка справедливой стоимости активов с учетом кредитного риска.</w:t>
      </w:r>
    </w:p>
    <w:p w14:paraId="0C8F1D3C" w14:textId="77777777" w:rsidR="008C0A68" w:rsidRDefault="008C0A68" w:rsidP="008C0A68">
      <w:pPr>
        <w:tabs>
          <w:tab w:val="left" w:pos="709"/>
        </w:tabs>
        <w:autoSpaceDE w:val="0"/>
        <w:autoSpaceDN w:val="0"/>
        <w:spacing w:line="360" w:lineRule="auto"/>
        <w:jc w:val="both"/>
        <w:rPr>
          <w:szCs w:val="24"/>
        </w:rPr>
      </w:pPr>
      <w:r>
        <w:rPr>
          <w:b/>
          <w:szCs w:val="24"/>
        </w:rPr>
        <w:t>4.1.</w:t>
      </w:r>
      <w:r>
        <w:rPr>
          <w:szCs w:val="24"/>
        </w:rPr>
        <w:t xml:space="preserve"> </w:t>
      </w:r>
      <w:r>
        <w:rPr>
          <w:szCs w:val="24"/>
        </w:rPr>
        <w:tab/>
        <w:t xml:space="preserve">С целью учета кредитного риска справедливая стоимость актива  </w:t>
      </w:r>
      <m:oMath>
        <m:sSub>
          <m:sSubPr>
            <m:ctrlPr>
              <w:rPr>
                <w:rFonts w:ascii="Cambria Math" w:eastAsia="Calibri" w:hAnsi="Cambria Math"/>
                <w:sz w:val="22"/>
                <w:szCs w:val="22"/>
                <w:lang w:eastAsia="en-US"/>
              </w:rPr>
            </m:ctrlPr>
          </m:sSubPr>
          <m:e>
            <m:r>
              <m:rPr>
                <m:sty m:val="p"/>
              </m:rPr>
              <w:rPr>
                <w:rFonts w:ascii="Cambria Math" w:hAnsi="Cambria Math"/>
              </w:rPr>
              <m:t>PV</m:t>
            </m:r>
          </m:e>
          <m:sub>
            <m:r>
              <m:rPr>
                <m:sty m:val="p"/>
              </m:rPr>
              <w:rPr>
                <w:rFonts w:ascii="Cambria Math" w:hAnsi="Cambria Math"/>
              </w:rPr>
              <m:t>dev</m:t>
            </m:r>
          </m:sub>
        </m:sSub>
      </m:oMath>
      <w:r>
        <w:rPr>
          <w:szCs w:val="24"/>
        </w:rPr>
        <w:t xml:space="preserve"> определяется с применением модели ожидаемых кредитных убытков в соответствии с формулой:</w:t>
      </w:r>
    </w:p>
    <w:p w14:paraId="69613B18" w14:textId="77777777" w:rsidR="008C0A68" w:rsidRDefault="002B470C" w:rsidP="008C0A68">
      <w:pPr>
        <w:tabs>
          <w:tab w:val="left" w:pos="0"/>
        </w:tabs>
        <w:spacing w:line="360" w:lineRule="auto"/>
        <w:ind w:left="-142" w:firstLine="142"/>
        <w:jc w:val="center"/>
        <w:rPr>
          <w:szCs w:val="24"/>
        </w:rPr>
      </w:pPr>
      <m:oMathPara>
        <m:oMathParaPr>
          <m:jc m:val="center"/>
        </m:oMathParaPr>
        <m:oMath>
          <m:sSub>
            <m:sSubPr>
              <m:ctrlPr>
                <w:rPr>
                  <w:rFonts w:ascii="Cambria Math" w:eastAsia="Calibri" w:hAnsi="Cambria Math"/>
                  <w:szCs w:val="24"/>
                  <w:lang w:eastAsia="en-US"/>
                </w:rPr>
              </m:ctrlPr>
            </m:sSubPr>
            <m:e>
              <m:r>
                <m:rPr>
                  <m:sty m:val="p"/>
                </m:rPr>
                <w:rPr>
                  <w:rFonts w:ascii="Cambria Math" w:hAnsi="Cambria Math"/>
                  <w:szCs w:val="24"/>
                </w:rPr>
                <m:t>PV</m:t>
              </m:r>
            </m:e>
            <m:sub>
              <m:r>
                <m:rPr>
                  <m:sty m:val="p"/>
                </m:rPr>
                <w:rPr>
                  <w:rFonts w:ascii="Cambria Math" w:hAnsi="Cambria Math"/>
                  <w:szCs w:val="24"/>
                </w:rPr>
                <m:t>dev</m:t>
              </m:r>
            </m:sub>
          </m:sSub>
          <m:r>
            <m:rPr>
              <m:sty m:val="p"/>
            </m:rPr>
            <w:rPr>
              <w:rFonts w:ascii="Cambria Math" w:hAnsi="Cambria Math"/>
              <w:szCs w:val="24"/>
            </w:rPr>
            <m:t>=</m:t>
          </m:r>
          <m:r>
            <w:rPr>
              <w:rFonts w:ascii="Cambria Math" w:hAnsi="Cambria Math"/>
              <w:szCs w:val="24"/>
            </w:rPr>
            <m:t>PV-</m:t>
          </m:r>
          <m:r>
            <m:rPr>
              <m:sty m:val="p"/>
            </m:rPr>
            <w:rPr>
              <w:rFonts w:ascii="Cambria Math" w:hAnsi="Cambria Math"/>
              <w:szCs w:val="24"/>
            </w:rPr>
            <m:t>ECL=</m:t>
          </m:r>
          <m:r>
            <w:rPr>
              <w:rFonts w:ascii="Cambria Math" w:hAnsi="Cambria Math"/>
              <w:szCs w:val="24"/>
            </w:rPr>
            <m:t>PV-PV*PD*LGD=</m:t>
          </m:r>
        </m:oMath>
      </m:oMathPara>
    </w:p>
    <w:p w14:paraId="5224FFAE" w14:textId="77777777" w:rsidR="008C0A68" w:rsidRDefault="008C0A68" w:rsidP="008C0A68">
      <w:pPr>
        <w:tabs>
          <w:tab w:val="left" w:pos="0"/>
        </w:tabs>
        <w:spacing w:line="360" w:lineRule="auto"/>
        <w:ind w:left="3686"/>
        <w:jc w:val="right"/>
        <w:rPr>
          <w:i/>
          <w:szCs w:val="24"/>
        </w:rPr>
      </w:pPr>
      <m:oMath>
        <m:r>
          <w:rPr>
            <w:rFonts w:ascii="Cambria Math" w:hAnsi="Cambria Math"/>
            <w:szCs w:val="24"/>
          </w:rPr>
          <m:t>=</m:t>
        </m:r>
        <m:d>
          <m:dPr>
            <m:ctrlPr>
              <w:rPr>
                <w:rFonts w:ascii="Cambria Math" w:eastAsia="Calibri" w:hAnsi="Cambria Math"/>
                <w:i/>
                <w:szCs w:val="24"/>
                <w:lang w:val="en-US" w:eastAsia="en-US"/>
              </w:rPr>
            </m:ctrlPr>
          </m:dPr>
          <m:e>
            <m:r>
              <w:rPr>
                <w:rFonts w:ascii="Cambria Math" w:hAnsi="Cambria Math"/>
                <w:szCs w:val="24"/>
              </w:rPr>
              <m:t>1-</m:t>
            </m:r>
            <m:r>
              <w:rPr>
                <w:rFonts w:ascii="Cambria Math" w:hAnsi="Cambria Math"/>
                <w:szCs w:val="24"/>
                <w:lang w:val="en-US"/>
              </w:rPr>
              <m:t>PD</m:t>
            </m:r>
            <m:r>
              <w:rPr>
                <w:rFonts w:ascii="Cambria Math" w:hAnsi="Cambria Math"/>
                <w:szCs w:val="24"/>
              </w:rPr>
              <m:t>*</m:t>
            </m:r>
            <m:r>
              <w:rPr>
                <w:rFonts w:ascii="Cambria Math" w:hAnsi="Cambria Math"/>
                <w:szCs w:val="24"/>
                <w:lang w:val="en-US"/>
              </w:rPr>
              <m:t>LGD</m:t>
            </m:r>
          </m:e>
        </m:d>
        <m:r>
          <w:rPr>
            <w:rFonts w:ascii="Cambria Math" w:hAnsi="Cambria Math"/>
            <w:szCs w:val="24"/>
          </w:rPr>
          <m:t>*</m:t>
        </m:r>
        <m:r>
          <w:rPr>
            <w:rFonts w:ascii="Cambria Math" w:hAnsi="Cambria Math"/>
            <w:szCs w:val="24"/>
            <w:lang w:val="en-US"/>
          </w:rPr>
          <m:t>PV</m:t>
        </m:r>
        <m:r>
          <w:rPr>
            <w:rFonts w:ascii="Cambria Math" w:hAnsi="Cambria Math"/>
            <w:szCs w:val="24"/>
          </w:rPr>
          <m:t>,</m:t>
        </m:r>
      </m:oMath>
      <w:r>
        <w:rPr>
          <w:i/>
          <w:szCs w:val="24"/>
        </w:rPr>
        <w:tab/>
      </w:r>
      <w:r>
        <w:rPr>
          <w:i/>
          <w:szCs w:val="24"/>
        </w:rPr>
        <w:tab/>
      </w:r>
      <w:r>
        <w:rPr>
          <w:i/>
          <w:szCs w:val="24"/>
        </w:rPr>
        <w:tab/>
      </w:r>
      <w:r>
        <w:rPr>
          <w:i/>
          <w:szCs w:val="24"/>
        </w:rPr>
        <w:tab/>
      </w:r>
      <w:r>
        <w:rPr>
          <w:i/>
          <w:szCs w:val="24"/>
        </w:rPr>
        <w:tab/>
      </w:r>
      <w:r>
        <w:rPr>
          <w:i/>
          <w:szCs w:val="24"/>
        </w:rPr>
        <w:tab/>
      </w:r>
      <w:r>
        <w:rPr>
          <w:szCs w:val="24"/>
        </w:rPr>
        <w:t>(1)</w:t>
      </w:r>
    </w:p>
    <w:p w14:paraId="707188A1" w14:textId="77777777" w:rsidR="008C0A68" w:rsidRDefault="008C0A68" w:rsidP="008C0A68">
      <w:pPr>
        <w:spacing w:line="360" w:lineRule="auto"/>
        <w:jc w:val="both"/>
        <w:rPr>
          <w:szCs w:val="24"/>
        </w:rPr>
      </w:pPr>
      <w:r>
        <w:rPr>
          <w:szCs w:val="24"/>
        </w:rPr>
        <w:t>где</w:t>
      </w:r>
    </w:p>
    <w:p w14:paraId="4E938132" w14:textId="77777777" w:rsidR="008C0A68" w:rsidRDefault="008C0A68" w:rsidP="008C0A68">
      <w:pPr>
        <w:spacing w:line="360" w:lineRule="auto"/>
        <w:jc w:val="both"/>
        <w:rPr>
          <w:szCs w:val="24"/>
        </w:rPr>
      </w:pPr>
      <m:oMath>
        <m:r>
          <w:rPr>
            <w:rFonts w:ascii="Cambria Math" w:hAnsi="Cambria Math"/>
          </w:rPr>
          <m:t>PV</m:t>
        </m:r>
        <m:r>
          <m:rPr>
            <m:sty m:val="p"/>
          </m:rPr>
          <w:rPr>
            <w:rFonts w:ascii="Cambria Math" w:hAnsi="Cambria Math"/>
          </w:rPr>
          <m:t xml:space="preserve"> </m:t>
        </m:r>
      </m:oMath>
      <w:r>
        <w:rPr>
          <w:szCs w:val="24"/>
        </w:rPr>
        <w:t>– справедливая стоимость актива без учета кредитного риска, определенная в соответствии с методом оценки согласно Правилам СЧА;</w:t>
      </w:r>
    </w:p>
    <w:p w14:paraId="0BD04CFC" w14:textId="77777777" w:rsidR="008C0A68" w:rsidRDefault="008C0A68" w:rsidP="008C0A68">
      <w:pPr>
        <w:spacing w:line="360" w:lineRule="auto"/>
        <w:jc w:val="both"/>
        <w:rPr>
          <w:szCs w:val="24"/>
        </w:rPr>
      </w:pPr>
      <m:oMath>
        <m:r>
          <w:rPr>
            <w:rFonts w:ascii="Cambria Math" w:hAnsi="Cambria Math"/>
          </w:rPr>
          <m:t>ECL</m:t>
        </m:r>
        <m:r>
          <m:rPr>
            <m:sty m:val="p"/>
          </m:rPr>
          <w:rPr>
            <w:rFonts w:ascii="Cambria Math" w:hAnsi="Cambria Math"/>
          </w:rPr>
          <m:t xml:space="preserve"> </m:t>
        </m:r>
      </m:oMath>
      <w:r>
        <w:rPr>
          <w:i/>
          <w:szCs w:val="24"/>
        </w:rPr>
        <w:t>(</w:t>
      </w:r>
      <w:r>
        <w:rPr>
          <w:szCs w:val="24"/>
        </w:rPr>
        <w:t>Expected credit losses, величина ожидаемых кредитных убытков, руб.</w:t>
      </w:r>
      <w:r>
        <w:rPr>
          <w:i/>
          <w:szCs w:val="24"/>
        </w:rPr>
        <w:t>)</w:t>
      </w:r>
      <w:r>
        <w:rPr>
          <w:szCs w:val="24"/>
        </w:rPr>
        <w:t xml:space="preserve"> – величина ожидаемых кредитных убытков, корректирующая денежные потоки, приведенная к моменту оценки;</w:t>
      </w:r>
    </w:p>
    <w:p w14:paraId="51260FA6" w14:textId="77777777" w:rsidR="008C0A68" w:rsidRDefault="008C0A68" w:rsidP="008C0A68">
      <w:pPr>
        <w:spacing w:line="360" w:lineRule="auto"/>
        <w:jc w:val="both"/>
        <w:rPr>
          <w:szCs w:val="24"/>
        </w:rPr>
      </w:pPr>
      <w:r>
        <w:rPr>
          <w:i/>
          <w:szCs w:val="24"/>
        </w:rPr>
        <w:t xml:space="preserve">PD </w:t>
      </w:r>
      <w:r>
        <w:rPr>
          <w:szCs w:val="24"/>
        </w:rPr>
        <w:t xml:space="preserve">(Probability of Default, вероятность дефолта, </w:t>
      </w:r>
      <m:oMath>
        <m:r>
          <w:rPr>
            <w:rFonts w:ascii="Cambria Math" w:hAnsi="Cambria Math"/>
            <w:szCs w:val="24"/>
          </w:rPr>
          <m:t>0≤PD≤</m:t>
        </m:r>
        <m:r>
          <w:rPr>
            <w:rFonts w:ascii="Cambria Math"/>
            <w:szCs w:val="24"/>
          </w:rPr>
          <m:t>1</m:t>
        </m:r>
      </m:oMath>
      <w:r>
        <w:rPr>
          <w:szCs w:val="24"/>
        </w:rPr>
        <w:t>) – оценка вероятности, с которой контрагент в течение заданного промежутка времени может оказаться в состоянии дефолта;</w:t>
      </w:r>
    </w:p>
    <w:p w14:paraId="3C3344AC" w14:textId="77777777" w:rsidR="008C0A68" w:rsidRDefault="008C0A68" w:rsidP="008C0A68">
      <w:pPr>
        <w:spacing w:line="360" w:lineRule="auto"/>
        <w:jc w:val="both"/>
        <w:rPr>
          <w:szCs w:val="24"/>
        </w:rPr>
      </w:pPr>
      <w:r>
        <w:rPr>
          <w:i/>
          <w:szCs w:val="24"/>
        </w:rPr>
        <w:t xml:space="preserve">LGD </w:t>
      </w:r>
      <w:r>
        <w:rPr>
          <w:szCs w:val="24"/>
        </w:rPr>
        <w:t xml:space="preserve">(Loss Given Default, уровень потерь при дефолте, </w:t>
      </w:r>
      <m:oMath>
        <m:r>
          <w:rPr>
            <w:rFonts w:ascii="Cambria Math" w:hAnsi="Cambria Math"/>
            <w:szCs w:val="24"/>
          </w:rPr>
          <m:t>0≤LGD≤</m:t>
        </m:r>
        <m:r>
          <w:rPr>
            <w:rFonts w:ascii="Cambria Math"/>
            <w:szCs w:val="24"/>
          </w:rPr>
          <m:t>1</m:t>
        </m:r>
      </m:oMath>
      <w:r>
        <w:rPr>
          <w:szCs w:val="24"/>
        </w:rPr>
        <w:t xml:space="preserve">) – доля от суммы, подверженной кредитному риску, которая может быть потеряна в случае дефолта </w:t>
      </w:r>
      <w:r>
        <w:rPr>
          <w:szCs w:val="24"/>
        </w:rPr>
        <w:lastRenderedPageBreak/>
        <w:t>контрагента. Оценка убытка, возникающего в случае дефолта, основана на разнице между денежными потоками, предусмотренными договором, и ожидаемыми денежными потоками в дефолте, в том числе от реализации залогового обеспечения (при наличии).</w:t>
      </w:r>
    </w:p>
    <w:p w14:paraId="15DE4D82" w14:textId="77777777" w:rsidR="008C0A68" w:rsidRDefault="008C0A68" w:rsidP="008C0A68">
      <w:pPr>
        <w:spacing w:line="360" w:lineRule="auto"/>
        <w:jc w:val="both"/>
        <w:rPr>
          <w:szCs w:val="24"/>
        </w:rPr>
      </w:pPr>
      <w:r>
        <w:rPr>
          <w:b/>
          <w:szCs w:val="24"/>
        </w:rPr>
        <w:t>4.2.</w:t>
      </w:r>
      <w:r>
        <w:rPr>
          <w:szCs w:val="24"/>
        </w:rPr>
        <w:t xml:space="preserve"> </w:t>
      </w:r>
      <w:r>
        <w:rPr>
          <w:szCs w:val="24"/>
        </w:rPr>
        <w:tab/>
        <w:t>В случае, если справедливая стоимость актива без учета кредитного риска рассчитывалась по методу приведенной стоимости денежных потоков в соответствии с Приложением №1, формула (1) применяется к каждому денежному потоку:</w:t>
      </w:r>
    </w:p>
    <w:p w14:paraId="0C503199" w14:textId="77777777" w:rsidR="008C0A68" w:rsidRDefault="008C0A68" w:rsidP="008C0A68">
      <w:pPr>
        <w:spacing w:line="360" w:lineRule="auto"/>
        <w:ind w:left="1416" w:firstLine="708"/>
        <w:jc w:val="both"/>
        <w:rPr>
          <w:szCs w:val="24"/>
          <w:lang w:val="en-US"/>
        </w:rPr>
      </w:pPr>
      <w:r>
        <w:rPr>
          <w:szCs w:val="24"/>
          <w:lang w:val="en-US"/>
        </w:rPr>
        <w:t>PVdev(n)=(1 - PD(n)*LGD)*PV(n)                                                 (1’),</w:t>
      </w:r>
    </w:p>
    <w:p w14:paraId="7B8B64FD" w14:textId="77777777" w:rsidR="008C0A68" w:rsidRDefault="008C0A68" w:rsidP="008C0A68">
      <w:pPr>
        <w:spacing w:line="360" w:lineRule="auto"/>
        <w:jc w:val="both"/>
        <w:rPr>
          <w:szCs w:val="24"/>
        </w:rPr>
      </w:pPr>
      <w:r>
        <w:rPr>
          <w:szCs w:val="24"/>
        </w:rPr>
        <w:t xml:space="preserve">где индекс (n) означает порядковый номер денежного потока, PD(n) – это вероятность дефолта, соответствующая сроку денежного потока с номером </w:t>
      </w:r>
      <w:r>
        <w:rPr>
          <w:szCs w:val="24"/>
          <w:lang w:val="en-US"/>
        </w:rPr>
        <w:t>n</w:t>
      </w:r>
      <w:r>
        <w:rPr>
          <w:szCs w:val="24"/>
        </w:rPr>
        <w:t xml:space="preserve">, PV(n) – это величина денежного потока с номером </w:t>
      </w:r>
      <w:r>
        <w:rPr>
          <w:szCs w:val="24"/>
          <w:lang w:val="en-US"/>
        </w:rPr>
        <w:t>n</w:t>
      </w:r>
      <w:r>
        <w:rPr>
          <w:szCs w:val="24"/>
        </w:rPr>
        <w:t xml:space="preserve"> до корректировки. </w:t>
      </w:r>
    </w:p>
    <w:p w14:paraId="2DAE36C5" w14:textId="77777777" w:rsidR="008C0A68" w:rsidRDefault="008C0A68" w:rsidP="008C0A68">
      <w:pPr>
        <w:spacing w:line="360" w:lineRule="auto"/>
        <w:jc w:val="both"/>
        <w:rPr>
          <w:szCs w:val="24"/>
        </w:rPr>
      </w:pPr>
      <w:r>
        <w:rPr>
          <w:szCs w:val="24"/>
        </w:rPr>
        <w:t xml:space="preserve">Порядок определения вероятностей дефолта и уровня потерь при дефолте описан далее в настоящем Приложении. </w:t>
      </w:r>
    </w:p>
    <w:p w14:paraId="0F77FCF6" w14:textId="77777777" w:rsidR="008C0A68" w:rsidRDefault="008C0A68" w:rsidP="008C0A68">
      <w:pPr>
        <w:tabs>
          <w:tab w:val="left" w:pos="709"/>
        </w:tabs>
        <w:autoSpaceDE w:val="0"/>
        <w:autoSpaceDN w:val="0"/>
        <w:spacing w:line="360" w:lineRule="auto"/>
        <w:jc w:val="both"/>
        <w:rPr>
          <w:szCs w:val="24"/>
        </w:rPr>
      </w:pPr>
      <w:r>
        <w:rPr>
          <w:szCs w:val="24"/>
        </w:rPr>
        <w:t xml:space="preserve">Величины </w:t>
      </w:r>
      <m:oMath>
        <m:d>
          <m:dPr>
            <m:ctrlPr>
              <w:rPr>
                <w:rFonts w:ascii="Cambria Math" w:eastAsia="Calibri" w:hAnsi="Cambria Math"/>
                <w:szCs w:val="24"/>
                <w:lang w:eastAsia="en-US"/>
              </w:rPr>
            </m:ctrlPr>
          </m:dPr>
          <m:e>
            <m:r>
              <m:rPr>
                <m:sty m:val="p"/>
              </m:rPr>
              <w:rPr>
                <w:rFonts w:ascii="Cambria Math" w:hAnsi="Cambria Math"/>
                <w:szCs w:val="24"/>
              </w:rPr>
              <m:t>1-PD*LGD</m:t>
            </m:r>
          </m:e>
        </m:d>
      </m:oMath>
      <w:r>
        <w:rPr>
          <w:szCs w:val="24"/>
        </w:rPr>
        <w:t xml:space="preserve"> и (1 - </w:t>
      </w:r>
      <w:r>
        <w:rPr>
          <w:szCs w:val="24"/>
          <w:lang w:val="en-US"/>
        </w:rPr>
        <w:t>PD</w:t>
      </w:r>
      <w:r>
        <w:rPr>
          <w:szCs w:val="24"/>
        </w:rPr>
        <w:t>(</w:t>
      </w:r>
      <w:r>
        <w:rPr>
          <w:szCs w:val="24"/>
          <w:lang w:val="en-US"/>
        </w:rPr>
        <w:t>n</w:t>
      </w:r>
      <w:r>
        <w:rPr>
          <w:szCs w:val="24"/>
        </w:rPr>
        <w:t>)*</w:t>
      </w:r>
      <w:r>
        <w:rPr>
          <w:szCs w:val="24"/>
          <w:lang w:val="en-US"/>
        </w:rPr>
        <w:t>LGD</w:t>
      </w:r>
      <w:r>
        <w:rPr>
          <w:szCs w:val="24"/>
        </w:rPr>
        <w:t>) определяются с точностью до двух знаков после запятой. Величины PD, PD(n), LGD рассчитываются на каждую дату тестирования актива на обесценение и остаются неизменными до следующей даты тестирования.</w:t>
      </w:r>
    </w:p>
    <w:p w14:paraId="0930113C" w14:textId="77777777" w:rsidR="008C0A68" w:rsidRDefault="008C0A68" w:rsidP="008C0A68">
      <w:pPr>
        <w:tabs>
          <w:tab w:val="left" w:pos="709"/>
        </w:tabs>
        <w:autoSpaceDE w:val="0"/>
        <w:autoSpaceDN w:val="0"/>
        <w:spacing w:line="360" w:lineRule="auto"/>
        <w:jc w:val="both"/>
        <w:rPr>
          <w:szCs w:val="24"/>
        </w:rPr>
      </w:pPr>
      <w:r>
        <w:rPr>
          <w:b/>
          <w:szCs w:val="24"/>
        </w:rPr>
        <w:t>4.3.</w:t>
      </w:r>
      <w:r>
        <w:rPr>
          <w:szCs w:val="24"/>
        </w:rPr>
        <w:t xml:space="preserve"> </w:t>
      </w:r>
      <w:r>
        <w:rPr>
          <w:szCs w:val="24"/>
        </w:rPr>
        <w:tab/>
        <w:t>Формулы (1) и (1’) применяется как в отношении стандартных активов (без признаков обесценения), так и в отношении обесцененных активов.</w:t>
      </w:r>
    </w:p>
    <w:p w14:paraId="1411D030" w14:textId="77777777" w:rsidR="008C0A68" w:rsidRDefault="008C0A68" w:rsidP="008C0A68">
      <w:pPr>
        <w:tabs>
          <w:tab w:val="left" w:pos="709"/>
        </w:tabs>
        <w:autoSpaceDE w:val="0"/>
        <w:autoSpaceDN w:val="0"/>
        <w:spacing w:line="360" w:lineRule="auto"/>
        <w:jc w:val="both"/>
        <w:rPr>
          <w:szCs w:val="24"/>
        </w:rPr>
      </w:pPr>
      <w:r>
        <w:rPr>
          <w:szCs w:val="24"/>
        </w:rPr>
        <w:tab/>
        <w:t>В отношении операционной дебиторской задолженности физических и юридических лиц корректировка стоимости с учетом кредитного риска не производится при условии соблюдения требований для признания задолженности в качестве операционной. В отношении депозитов и требований фонда по сделкам обратного РЕПО корректировка стоимости с учетом кредитного риска производится только при выявлении признаков обесценения.</w:t>
      </w:r>
    </w:p>
    <w:p w14:paraId="0A6C8D6B" w14:textId="77777777" w:rsidR="008C0A68" w:rsidRDefault="008C0A68" w:rsidP="008C0A68">
      <w:pPr>
        <w:tabs>
          <w:tab w:val="left" w:pos="709"/>
        </w:tabs>
        <w:autoSpaceDE w:val="0"/>
        <w:autoSpaceDN w:val="0"/>
        <w:spacing w:line="360" w:lineRule="auto"/>
        <w:jc w:val="both"/>
        <w:rPr>
          <w:szCs w:val="24"/>
        </w:rPr>
      </w:pPr>
      <w:r>
        <w:rPr>
          <w:szCs w:val="24"/>
        </w:rPr>
        <w:tab/>
        <w:t xml:space="preserve">Стоимость актива, определенная оценщиком, не подлежит корректировке на кредитный риск при отсутствии признаков обесценения после даты оценки актива. В случае если справедливая стоимость тестируемого актива определялась на основании отчета оценщика, составленного на дату, предшествующую дате возникновения признаков обесценения актива, при возникновении события, ведущего к обесценению актива (негативного события), управляющая компания в течение 20 дней получает отчет об оценке данного актива независимым оценщиком на дату не ранее даты возникновения указанного события. При этом с даты наступления негативного события, и до даты применения нового отчета оценщика, Управляющая компания корректирует последнюю известную справедливую стоимость, определенную по отчету оценщика, с применением методов корректировки справедливой стоимости, указанных в настоящем приложении. </w:t>
      </w:r>
    </w:p>
    <w:p w14:paraId="0179FC65" w14:textId="77777777" w:rsidR="008C0A68" w:rsidRDefault="008C0A68" w:rsidP="008C0A68">
      <w:pPr>
        <w:tabs>
          <w:tab w:val="left" w:pos="709"/>
        </w:tabs>
        <w:autoSpaceDE w:val="0"/>
        <w:autoSpaceDN w:val="0"/>
        <w:spacing w:line="360" w:lineRule="auto"/>
        <w:jc w:val="both"/>
        <w:rPr>
          <w:szCs w:val="24"/>
        </w:rPr>
      </w:pPr>
      <w:r>
        <w:rPr>
          <w:szCs w:val="24"/>
        </w:rPr>
        <w:lastRenderedPageBreak/>
        <w:tab/>
        <w:t>Отчет независимого оценщика, составленный на дату после выявления признаков обесценения (в т.ч. признаков дефолта), может быть использован для оценки справедливой стоимости с учетом кредитного риска для любых активов, в т.ч. ранее оценивавшихся без привлечения оценщика.</w:t>
      </w:r>
    </w:p>
    <w:p w14:paraId="3FD45CD9" w14:textId="77777777" w:rsidR="008C0A68" w:rsidRDefault="008C0A68" w:rsidP="008C0A68">
      <w:pPr>
        <w:tabs>
          <w:tab w:val="left" w:pos="709"/>
        </w:tabs>
        <w:autoSpaceDE w:val="0"/>
        <w:autoSpaceDN w:val="0"/>
        <w:spacing w:line="360" w:lineRule="auto"/>
        <w:jc w:val="both"/>
        <w:rPr>
          <w:szCs w:val="24"/>
        </w:rPr>
      </w:pPr>
      <w:r>
        <w:rPr>
          <w:b/>
          <w:szCs w:val="24"/>
        </w:rPr>
        <w:t>4.4.</w:t>
      </w:r>
      <w:r>
        <w:rPr>
          <w:szCs w:val="24"/>
        </w:rPr>
        <w:t xml:space="preserve"> </w:t>
      </w:r>
      <w:r>
        <w:rPr>
          <w:szCs w:val="24"/>
        </w:rPr>
        <w:tab/>
      </w:r>
      <w:r>
        <w:rPr>
          <w:b/>
          <w:szCs w:val="24"/>
        </w:rPr>
        <w:t>Особенности оценки задолженности физических лиц с учетом кредитного риска</w:t>
      </w:r>
      <w:r>
        <w:rPr>
          <w:szCs w:val="24"/>
        </w:rPr>
        <w:t>.</w:t>
      </w:r>
    </w:p>
    <w:p w14:paraId="50FAC67A" w14:textId="77777777" w:rsidR="008C0A68" w:rsidRDefault="008C0A68" w:rsidP="008C0A68">
      <w:pPr>
        <w:tabs>
          <w:tab w:val="left" w:pos="709"/>
        </w:tabs>
        <w:autoSpaceDE w:val="0"/>
        <w:autoSpaceDN w:val="0"/>
        <w:spacing w:line="360" w:lineRule="auto"/>
        <w:jc w:val="both"/>
        <w:rPr>
          <w:szCs w:val="24"/>
        </w:rPr>
      </w:pPr>
      <w:r>
        <w:rPr>
          <w:szCs w:val="24"/>
        </w:rPr>
        <w:tab/>
        <w:t xml:space="preserve">Для оценки справедливой стоимости с учетом кредитного риска необеспеченной или обеспеченной залогом жилой недвижимости (в случае наличия обеспечения в размере не менее, чем на 80% от номинальной стоимости задолженности) задолженности </w:t>
      </w:r>
      <w:r>
        <w:rPr>
          <w:b/>
          <w:szCs w:val="24"/>
        </w:rPr>
        <w:t>физических</w:t>
      </w:r>
      <w:r>
        <w:rPr>
          <w:szCs w:val="24"/>
        </w:rPr>
        <w:t xml:space="preserve"> лиц </w:t>
      </w:r>
      <w:r>
        <w:rPr>
          <w:b/>
          <w:szCs w:val="24"/>
        </w:rPr>
        <w:t>до наступления дефолта</w:t>
      </w:r>
      <w:r>
        <w:rPr>
          <w:szCs w:val="24"/>
        </w:rPr>
        <w:t xml:space="preserve"> может использоваться величина CoR (Cost of Risk), рассчитанная по соответствующим кредитным портфелям ПАО Сбербанк. </w:t>
      </w:r>
    </w:p>
    <w:p w14:paraId="3F9D0CDD" w14:textId="77777777" w:rsidR="008C0A68" w:rsidRDefault="008C0A68" w:rsidP="008C0A68">
      <w:pPr>
        <w:tabs>
          <w:tab w:val="left" w:pos="709"/>
        </w:tabs>
        <w:autoSpaceDE w:val="0"/>
        <w:autoSpaceDN w:val="0"/>
        <w:spacing w:line="360" w:lineRule="auto"/>
        <w:jc w:val="both"/>
        <w:rPr>
          <w:szCs w:val="24"/>
        </w:rPr>
      </w:pPr>
      <w:r>
        <w:rPr>
          <w:szCs w:val="24"/>
        </w:rPr>
        <w:tab/>
        <w:t>CoR (Cost of Risk, стоимость риска, 0≤CoR≤1) – доля ожидаемых кредитных убытков, определяемая как отношение суммы сформированного резерва под кредитные убытки к валовой балансовой стоимости кредитов по данным отчетности МСФО выбранных банков (банка).</w:t>
      </w:r>
    </w:p>
    <w:p w14:paraId="07034C43" w14:textId="77777777" w:rsidR="008C0A68" w:rsidRDefault="008C0A68" w:rsidP="008C0A68">
      <w:pPr>
        <w:tabs>
          <w:tab w:val="left" w:pos="709"/>
        </w:tabs>
        <w:autoSpaceDE w:val="0"/>
        <w:autoSpaceDN w:val="0"/>
        <w:spacing w:line="360" w:lineRule="auto"/>
        <w:jc w:val="both"/>
        <w:rPr>
          <w:szCs w:val="24"/>
        </w:rPr>
      </w:pPr>
      <w:r>
        <w:rPr>
          <w:szCs w:val="24"/>
        </w:rPr>
        <w:tab/>
        <w:t xml:space="preserve">Величина CoR не зависит от срока до погашения задолженности. Для оценки используются Формулы (1) или (1’), в которых величина PD*LGD или каждое произведение PD(n)*LGD заменяются на CoR. </w:t>
      </w:r>
    </w:p>
    <w:p w14:paraId="24914EE1" w14:textId="77777777" w:rsidR="008C0A68" w:rsidRDefault="008C0A68" w:rsidP="008C0A68">
      <w:pPr>
        <w:tabs>
          <w:tab w:val="left" w:pos="709"/>
        </w:tabs>
        <w:autoSpaceDE w:val="0"/>
        <w:autoSpaceDN w:val="0"/>
        <w:spacing w:line="360" w:lineRule="auto"/>
        <w:jc w:val="both"/>
        <w:rPr>
          <w:szCs w:val="24"/>
        </w:rPr>
      </w:pPr>
      <w:r>
        <w:rPr>
          <w:b/>
          <w:szCs w:val="24"/>
        </w:rPr>
        <w:t>Порядок определения величины CoR</w:t>
      </w:r>
      <w:r>
        <w:rPr>
          <w:szCs w:val="24"/>
        </w:rPr>
        <w:t xml:space="preserve">. </w:t>
      </w:r>
    </w:p>
    <w:p w14:paraId="758BCB7A" w14:textId="77777777" w:rsidR="008C0A68" w:rsidRDefault="008C0A68" w:rsidP="008C0A68">
      <w:pPr>
        <w:tabs>
          <w:tab w:val="left" w:pos="709"/>
        </w:tabs>
        <w:autoSpaceDE w:val="0"/>
        <w:autoSpaceDN w:val="0"/>
        <w:spacing w:line="360" w:lineRule="auto"/>
        <w:jc w:val="both"/>
        <w:rPr>
          <w:szCs w:val="24"/>
        </w:rPr>
      </w:pPr>
      <w:r>
        <w:rPr>
          <w:szCs w:val="24"/>
        </w:rPr>
        <w:tab/>
        <w:t>Для расчетов используется последняя по времени официально опубликованная или полученная управляющей компанией по запросу квартальная/годовая отчетность по МСФО ПАО Сбербанк. В случае получения отчетности по запросу и использования ее данных при расчете СЧА, УК направляет полученную отчетность в специализированный депозитарий для подтверждения данных, использованных при расчете СЧА.</w:t>
      </w:r>
    </w:p>
    <w:p w14:paraId="0F09FAF0" w14:textId="77777777" w:rsidR="008C0A68" w:rsidRDefault="008C0A68" w:rsidP="008C0A68">
      <w:pPr>
        <w:tabs>
          <w:tab w:val="left" w:pos="709"/>
        </w:tabs>
        <w:autoSpaceDE w:val="0"/>
        <w:autoSpaceDN w:val="0"/>
        <w:spacing w:line="360" w:lineRule="auto"/>
        <w:jc w:val="both"/>
        <w:rPr>
          <w:szCs w:val="24"/>
        </w:rPr>
      </w:pPr>
      <w:r>
        <w:rPr>
          <w:szCs w:val="24"/>
        </w:rPr>
        <w:t>Анализируется информация о кредитах и авансах клиентам в разрезе следующих категорий:</w:t>
      </w:r>
    </w:p>
    <w:p w14:paraId="0CEC8728" w14:textId="77777777" w:rsidR="008C0A68" w:rsidRDefault="008C0A68" w:rsidP="008C0A68">
      <w:pPr>
        <w:tabs>
          <w:tab w:val="left" w:pos="709"/>
        </w:tabs>
        <w:autoSpaceDE w:val="0"/>
        <w:autoSpaceDN w:val="0"/>
        <w:spacing w:line="360" w:lineRule="auto"/>
        <w:jc w:val="both"/>
        <w:rPr>
          <w:szCs w:val="24"/>
        </w:rPr>
      </w:pPr>
      <w:r>
        <w:rPr>
          <w:szCs w:val="24"/>
        </w:rPr>
        <w:t>- для оценки CoR для обеспеченной ипотекой задолженности физических лиц анализируется категория «Жилищное кредитование физических лиц»;</w:t>
      </w:r>
    </w:p>
    <w:p w14:paraId="6909C552" w14:textId="77777777" w:rsidR="008C0A68" w:rsidRDefault="008C0A68" w:rsidP="008C0A68">
      <w:pPr>
        <w:tabs>
          <w:tab w:val="left" w:pos="709"/>
        </w:tabs>
        <w:autoSpaceDE w:val="0"/>
        <w:autoSpaceDN w:val="0"/>
        <w:spacing w:line="360" w:lineRule="auto"/>
        <w:jc w:val="both"/>
        <w:rPr>
          <w:szCs w:val="24"/>
        </w:rPr>
      </w:pPr>
      <w:r>
        <w:rPr>
          <w:szCs w:val="24"/>
        </w:rPr>
        <w:t xml:space="preserve"> - для оценки CoR для необеспеченной задолженности физических лиц анализируются категории «Потребительские и прочие ссуды физическим лицам» и «Кредитные карты и овердрафтное кредитование физических лиц».</w:t>
      </w:r>
    </w:p>
    <w:p w14:paraId="36E3D90B" w14:textId="77777777" w:rsidR="008C0A68" w:rsidRDefault="008C0A68" w:rsidP="008C0A68">
      <w:pPr>
        <w:tabs>
          <w:tab w:val="left" w:pos="709"/>
        </w:tabs>
        <w:autoSpaceDE w:val="0"/>
        <w:autoSpaceDN w:val="0"/>
        <w:spacing w:line="360" w:lineRule="auto"/>
        <w:jc w:val="both"/>
        <w:rPr>
          <w:szCs w:val="24"/>
        </w:rPr>
      </w:pPr>
      <w:r>
        <w:rPr>
          <w:szCs w:val="24"/>
        </w:rPr>
        <w:tab/>
        <w:t xml:space="preserve">В зависимости от изменения кредитного качества с момента первоначального признания ПАО Сбербанк относит кредиты и авансы клиентам, к одной из следующих стадий: </w:t>
      </w:r>
    </w:p>
    <w:p w14:paraId="5E0A574E" w14:textId="77777777" w:rsidR="008C0A68" w:rsidRDefault="008C0A68" w:rsidP="008C0A68">
      <w:pPr>
        <w:tabs>
          <w:tab w:val="left" w:pos="709"/>
        </w:tabs>
        <w:autoSpaceDE w:val="0"/>
        <w:autoSpaceDN w:val="0"/>
        <w:spacing w:line="360" w:lineRule="auto"/>
        <w:jc w:val="both"/>
        <w:rPr>
          <w:szCs w:val="24"/>
        </w:rPr>
      </w:pPr>
      <w:r>
        <w:rPr>
          <w:szCs w:val="24"/>
        </w:rPr>
        <w:lastRenderedPageBreak/>
        <w:t xml:space="preserve">- «12-месячные ожидаемые кредитные убытки» (Стадия 1) – активы, по которым не наблюдалось существенного увеличения кредитного риска, и по которым рассчитываются 12-месячные ожидаемые кредитные убытки; </w:t>
      </w:r>
    </w:p>
    <w:p w14:paraId="4DC44325" w14:textId="77777777" w:rsidR="008C0A68" w:rsidRDefault="008C0A68" w:rsidP="008C0A68">
      <w:pPr>
        <w:tabs>
          <w:tab w:val="left" w:pos="709"/>
        </w:tabs>
        <w:autoSpaceDE w:val="0"/>
        <w:autoSpaceDN w:val="0"/>
        <w:spacing w:line="360" w:lineRule="auto"/>
        <w:jc w:val="both"/>
        <w:rPr>
          <w:szCs w:val="24"/>
        </w:rPr>
      </w:pPr>
      <w:r>
        <w:rPr>
          <w:szCs w:val="24"/>
        </w:rPr>
        <w:t xml:space="preserve">- «Ожидаемые кредитные убытки за весь срок жизни – необесцененные активы» (Стадия 2) – активы, по которым произошло существенное увеличение кредитного риска, но не являющиеся обесцененными; ожидаемые кредитные убытки рассчитываются в течение всего срока жизни финансового инструмента; </w:t>
      </w:r>
    </w:p>
    <w:p w14:paraId="7D50CD49" w14:textId="77777777" w:rsidR="008C0A68" w:rsidRDefault="008C0A68" w:rsidP="008C0A68">
      <w:pPr>
        <w:tabs>
          <w:tab w:val="left" w:pos="709"/>
        </w:tabs>
        <w:autoSpaceDE w:val="0"/>
        <w:autoSpaceDN w:val="0"/>
        <w:spacing w:line="360" w:lineRule="auto"/>
        <w:jc w:val="both"/>
        <w:rPr>
          <w:szCs w:val="24"/>
        </w:rPr>
      </w:pPr>
      <w:r>
        <w:rPr>
          <w:szCs w:val="24"/>
        </w:rPr>
        <w:t>- «Ожидаемые кредитные убытки за весь срок жизни – обесцененные активы» (Стадия 3) – обесцененные активы.</w:t>
      </w:r>
    </w:p>
    <w:p w14:paraId="1FE06A79" w14:textId="77777777" w:rsidR="008C0A68" w:rsidRDefault="008C0A68" w:rsidP="008C0A68">
      <w:pPr>
        <w:tabs>
          <w:tab w:val="left" w:pos="709"/>
        </w:tabs>
        <w:autoSpaceDE w:val="0"/>
        <w:autoSpaceDN w:val="0"/>
        <w:spacing w:line="360" w:lineRule="auto"/>
        <w:jc w:val="both"/>
        <w:rPr>
          <w:szCs w:val="24"/>
        </w:rPr>
      </w:pPr>
      <w:r>
        <w:rPr>
          <w:szCs w:val="24"/>
        </w:rPr>
        <w:tab/>
        <w:t>Значения CoR на Стадии 1 используются для стандартных активов (без признаков обесценения). Значения CoR на Стадии 2 используются для обесцененных активов. Стадия 3 не используется.</w:t>
      </w:r>
    </w:p>
    <w:p w14:paraId="7F616EA8" w14:textId="77777777" w:rsidR="008C0A68" w:rsidRDefault="008C0A68" w:rsidP="008C0A68">
      <w:pPr>
        <w:tabs>
          <w:tab w:val="left" w:pos="709"/>
        </w:tabs>
        <w:autoSpaceDE w:val="0"/>
        <w:autoSpaceDN w:val="0"/>
        <w:spacing w:line="360" w:lineRule="auto"/>
        <w:jc w:val="both"/>
        <w:rPr>
          <w:szCs w:val="24"/>
        </w:rPr>
      </w:pPr>
      <w:r>
        <w:rPr>
          <w:szCs w:val="24"/>
        </w:rPr>
        <w:tab/>
        <w:t>Величина CoR для обеспеченной ипотекой жилой недвижимости задолженности физических лиц рассчитывается как отношение резерва под кредитные убытки, к валовой балансовой стоимости жилищного кредитования для Стадий 1 и 2. Расчет производится для каждой из Стадий в отдельности.</w:t>
      </w:r>
    </w:p>
    <w:p w14:paraId="57DF26E7" w14:textId="77777777" w:rsidR="008C0A68" w:rsidRDefault="008C0A68" w:rsidP="008C0A68">
      <w:pPr>
        <w:tabs>
          <w:tab w:val="left" w:pos="709"/>
        </w:tabs>
        <w:autoSpaceDE w:val="0"/>
        <w:autoSpaceDN w:val="0"/>
        <w:spacing w:line="360" w:lineRule="auto"/>
        <w:jc w:val="both"/>
        <w:rPr>
          <w:szCs w:val="24"/>
        </w:rPr>
      </w:pPr>
      <w:r>
        <w:rPr>
          <w:szCs w:val="24"/>
        </w:rPr>
        <w:tab/>
        <w:t>Величины CoR для необеспеченной задолженности физических лиц для Стадий 1 и 2 рассчитываются как отношение суммы резервов под кредитные убытки для категорий «Потребительские и прочие ссуды физическим лицам» и «Кредитные карты и овердрафтное кредитование физических лиц» к сумме валовых балансовых стоимостей активов в этих категориях. Расчет производится для каждой из Стадий в отдельности.</w:t>
      </w:r>
    </w:p>
    <w:p w14:paraId="26E46022" w14:textId="77777777" w:rsidR="008C0A68" w:rsidRDefault="008C0A68" w:rsidP="008C0A68">
      <w:pPr>
        <w:tabs>
          <w:tab w:val="left" w:pos="709"/>
        </w:tabs>
        <w:autoSpaceDE w:val="0"/>
        <w:autoSpaceDN w:val="0"/>
        <w:spacing w:line="360" w:lineRule="auto"/>
        <w:jc w:val="both"/>
        <w:rPr>
          <w:szCs w:val="24"/>
        </w:rPr>
      </w:pPr>
      <w:r>
        <w:rPr>
          <w:szCs w:val="24"/>
        </w:rPr>
        <w:tab/>
        <w:t>Величина CoR рассчитывается на каждую дату тестирования актива на обесценение на основании последней по времени опубликованной (или полученной по запросу) квартальной/годовой отчетности по МСФО ПАО Сбербанк и не изменяется до следующей даты тестирования. Величина CoR определяется с точностью до четырех знаков после запятой (или до двух знаков после запятой в случае ее представления в процентном формате).</w:t>
      </w:r>
    </w:p>
    <w:p w14:paraId="2248C7A1" w14:textId="77777777" w:rsidR="008C0A68" w:rsidRDefault="008C0A68" w:rsidP="008C0A68">
      <w:pPr>
        <w:tabs>
          <w:tab w:val="left" w:pos="709"/>
        </w:tabs>
        <w:autoSpaceDE w:val="0"/>
        <w:autoSpaceDN w:val="0"/>
        <w:spacing w:line="360" w:lineRule="auto"/>
        <w:jc w:val="both"/>
        <w:rPr>
          <w:szCs w:val="24"/>
        </w:rPr>
      </w:pPr>
    </w:p>
    <w:p w14:paraId="5D1F25B5" w14:textId="77777777" w:rsidR="008C0A68" w:rsidRDefault="008C0A68" w:rsidP="008C0A68">
      <w:pPr>
        <w:tabs>
          <w:tab w:val="left" w:pos="709"/>
        </w:tabs>
        <w:autoSpaceDE w:val="0"/>
        <w:autoSpaceDN w:val="0"/>
        <w:spacing w:line="360" w:lineRule="auto"/>
        <w:jc w:val="both"/>
        <w:rPr>
          <w:szCs w:val="24"/>
        </w:rPr>
      </w:pPr>
      <w:r>
        <w:rPr>
          <w:szCs w:val="24"/>
        </w:rPr>
        <w:tab/>
        <w:t xml:space="preserve">Если права требования к физическому лицу обеспечены иным видом имущества, кроме ипотеки жилой недвижимости (в том числе, залогом и поручительством), то для оценки с учетом обеспечения </w:t>
      </w:r>
      <w:r>
        <w:rPr>
          <w:b/>
          <w:szCs w:val="24"/>
        </w:rPr>
        <w:t>до наступления дефолта</w:t>
      </w:r>
      <w:r>
        <w:rPr>
          <w:szCs w:val="24"/>
        </w:rPr>
        <w:t xml:space="preserve"> используется </w:t>
      </w:r>
      <w:r>
        <w:rPr>
          <w:szCs w:val="24"/>
          <w:lang w:val="en-US"/>
        </w:rPr>
        <w:t>CoR</w:t>
      </w:r>
      <w:r>
        <w:rPr>
          <w:szCs w:val="24"/>
        </w:rPr>
        <w:t xml:space="preserve">, рассчитанная для необеспеченной задолженности физических лиц, при этом величина </w:t>
      </w:r>
      <w:r>
        <w:rPr>
          <w:szCs w:val="24"/>
          <w:lang w:val="en-US"/>
        </w:rPr>
        <w:t>CoR</w:t>
      </w:r>
      <w:r>
        <w:rPr>
          <w:szCs w:val="24"/>
        </w:rPr>
        <w:t xml:space="preserve"> приравнивается к </w:t>
      </w:r>
      <w:r>
        <w:rPr>
          <w:szCs w:val="24"/>
          <w:lang w:val="en-US"/>
        </w:rPr>
        <w:t>PD</w:t>
      </w:r>
      <w:r>
        <w:rPr>
          <w:szCs w:val="24"/>
        </w:rPr>
        <w:t xml:space="preserve"> или к PD(n) (при этом </w:t>
      </w:r>
      <w:r>
        <w:rPr>
          <w:szCs w:val="24"/>
          <w:lang w:val="en-US"/>
        </w:rPr>
        <w:t>PD</w:t>
      </w:r>
      <w:r>
        <w:rPr>
          <w:szCs w:val="24"/>
        </w:rPr>
        <w:t>(</w:t>
      </w:r>
      <w:r>
        <w:rPr>
          <w:szCs w:val="24"/>
          <w:lang w:val="en-US"/>
        </w:rPr>
        <w:t>n</w:t>
      </w:r>
      <w:r>
        <w:rPr>
          <w:szCs w:val="24"/>
        </w:rPr>
        <w:t xml:space="preserve">) не зависит от времени). </w:t>
      </w:r>
      <w:r>
        <w:rPr>
          <w:szCs w:val="24"/>
          <w:lang w:val="en-US"/>
        </w:rPr>
        <w:t>LGD</w:t>
      </w:r>
      <w:r>
        <w:rPr>
          <w:szCs w:val="24"/>
        </w:rPr>
        <w:t xml:space="preserve"> с учетом обеспечения определяется соответствии с порядком, описанным далее в настоящем Приложении. </w:t>
      </w:r>
    </w:p>
    <w:p w14:paraId="0EF66FC4" w14:textId="77777777" w:rsidR="008C0A68" w:rsidRDefault="008C0A68" w:rsidP="004872F3">
      <w:pPr>
        <w:keepNext/>
        <w:keepLines/>
        <w:numPr>
          <w:ilvl w:val="0"/>
          <w:numId w:val="29"/>
        </w:numPr>
        <w:spacing w:before="120" w:after="120" w:line="360" w:lineRule="auto"/>
        <w:ind w:left="0" w:firstLine="0"/>
        <w:jc w:val="center"/>
        <w:rPr>
          <w:b/>
          <w:szCs w:val="24"/>
        </w:rPr>
      </w:pPr>
      <w:r>
        <w:rPr>
          <w:b/>
          <w:szCs w:val="24"/>
        </w:rPr>
        <w:lastRenderedPageBreak/>
        <w:t>Порядок определения кредитного рейтинга контрагента (контрагенты – юридические лица)</w:t>
      </w:r>
    </w:p>
    <w:p w14:paraId="1F2A71F8" w14:textId="77777777" w:rsidR="008C0A68" w:rsidRDefault="008C0A68" w:rsidP="004872F3">
      <w:pPr>
        <w:pStyle w:val="a7"/>
        <w:keepNext/>
        <w:keepLines/>
        <w:numPr>
          <w:ilvl w:val="1"/>
          <w:numId w:val="31"/>
        </w:numPr>
        <w:spacing w:after="0" w:line="360" w:lineRule="auto"/>
        <w:ind w:left="709" w:hanging="709"/>
        <w:rPr>
          <w:rFonts w:ascii="Times New Roman" w:hAnsi="Times New Roman"/>
          <w:b/>
          <w:sz w:val="24"/>
          <w:szCs w:val="24"/>
        </w:rPr>
      </w:pPr>
      <w:r>
        <w:rPr>
          <w:rFonts w:ascii="Times New Roman" w:hAnsi="Times New Roman"/>
          <w:b/>
          <w:sz w:val="24"/>
          <w:szCs w:val="24"/>
        </w:rPr>
        <w:t>Определение внешнего кредитного рейтинга контрагента</w:t>
      </w:r>
    </w:p>
    <w:p w14:paraId="3A6300AD" w14:textId="77777777" w:rsidR="008C0A68" w:rsidRDefault="008C0A68" w:rsidP="008C0A68">
      <w:pPr>
        <w:pStyle w:val="a7"/>
        <w:tabs>
          <w:tab w:val="left" w:pos="709"/>
        </w:tabs>
        <w:autoSpaceDE w:val="0"/>
        <w:autoSpaceDN w:val="0"/>
        <w:adjustRightInd w:val="0"/>
        <w:spacing w:after="0" w:line="360" w:lineRule="auto"/>
        <w:ind w:left="0"/>
        <w:jc w:val="both"/>
        <w:rPr>
          <w:rFonts w:ascii="Times New Roman" w:hAnsi="Times New Roman"/>
          <w:color w:val="000000"/>
          <w:sz w:val="24"/>
          <w:szCs w:val="24"/>
        </w:rPr>
      </w:pPr>
      <w:r>
        <w:rPr>
          <w:rFonts w:ascii="Times New Roman" w:hAnsi="Times New Roman"/>
          <w:color w:val="000000"/>
          <w:sz w:val="24"/>
          <w:szCs w:val="24"/>
        </w:rPr>
        <w:tab/>
        <w:t xml:space="preserve">На каждую дату тестирования актива на обесценение в соответствии с настоящей Методикой определяется перечень и характеристики финансовых активов, </w:t>
      </w:r>
      <w:r>
        <w:rPr>
          <w:rFonts w:ascii="Times New Roman" w:hAnsi="Times New Roman"/>
          <w:sz w:val="24"/>
          <w:szCs w:val="24"/>
        </w:rPr>
        <w:t xml:space="preserve">тестируемых на обесценение. </w:t>
      </w:r>
    </w:p>
    <w:p w14:paraId="031DAE90" w14:textId="77777777" w:rsidR="008C0A68" w:rsidRDefault="008C0A68" w:rsidP="008C0A68">
      <w:pPr>
        <w:pStyle w:val="a7"/>
        <w:tabs>
          <w:tab w:val="left" w:pos="709"/>
        </w:tabs>
        <w:autoSpaceDE w:val="0"/>
        <w:autoSpaceDN w:val="0"/>
        <w:adjustRightInd w:val="0"/>
        <w:spacing w:after="0" w:line="360" w:lineRule="auto"/>
        <w:ind w:left="0"/>
        <w:jc w:val="both"/>
        <w:rPr>
          <w:rFonts w:ascii="Times New Roman" w:hAnsi="Times New Roman"/>
          <w:color w:val="000000"/>
          <w:sz w:val="24"/>
          <w:szCs w:val="24"/>
        </w:rPr>
      </w:pPr>
      <w:r>
        <w:rPr>
          <w:rFonts w:ascii="Times New Roman" w:hAnsi="Times New Roman"/>
          <w:sz w:val="24"/>
          <w:szCs w:val="24"/>
        </w:rPr>
        <w:tab/>
        <w:t xml:space="preserve">По каждому активу определяется контрагент. </w:t>
      </w:r>
      <w:r>
        <w:rPr>
          <w:rFonts w:ascii="Times New Roman" w:hAnsi="Times New Roman"/>
          <w:color w:val="000000"/>
          <w:sz w:val="24"/>
          <w:szCs w:val="24"/>
        </w:rPr>
        <w:t>По контрагенту определяются внешние (долгосрочные) кредитные рейтинги, присвоенные на дату тестирования международными</w:t>
      </w:r>
      <w:r>
        <w:rPr>
          <w:rStyle w:val="af1"/>
          <w:rFonts w:ascii="Times New Roman" w:hAnsi="Times New Roman"/>
          <w:color w:val="000000"/>
          <w:sz w:val="24"/>
          <w:szCs w:val="24"/>
        </w:rPr>
        <w:footnoteReference w:id="11"/>
      </w:r>
      <w:r>
        <w:rPr>
          <w:rFonts w:ascii="Times New Roman" w:hAnsi="Times New Roman"/>
          <w:color w:val="000000"/>
          <w:sz w:val="24"/>
          <w:szCs w:val="24"/>
        </w:rPr>
        <w:t xml:space="preserve"> (S&amp;P, Moody’s, Fitch) и национальными</w:t>
      </w:r>
      <w:r>
        <w:rPr>
          <w:rStyle w:val="af1"/>
          <w:rFonts w:ascii="Times New Roman" w:hAnsi="Times New Roman"/>
          <w:color w:val="000000"/>
          <w:sz w:val="24"/>
          <w:szCs w:val="24"/>
        </w:rPr>
        <w:footnoteReference w:id="12"/>
      </w:r>
      <w:r>
        <w:rPr>
          <w:rFonts w:ascii="Times New Roman" w:hAnsi="Times New Roman"/>
          <w:color w:val="000000"/>
          <w:sz w:val="24"/>
          <w:szCs w:val="24"/>
        </w:rPr>
        <w:t xml:space="preserve"> (Эксперт РА, АКРА) рейтинговыми агентствами. В случае если контрагенту присвоен кредитный рейтинг более чем одним международным и (или) национальным агентством, выбирается наименьшее (наилучшее) значение рейтинга контрагента в соответствии с Таблицей 1 «Соответствие рейтингов рейтинговых агентств».</w:t>
      </w:r>
    </w:p>
    <w:p w14:paraId="24BE8941" w14:textId="77777777" w:rsidR="008C0A68" w:rsidRDefault="008C0A68" w:rsidP="008C0A68">
      <w:pPr>
        <w:spacing w:line="360" w:lineRule="auto"/>
        <w:jc w:val="right"/>
        <w:rPr>
          <w:szCs w:val="24"/>
        </w:rPr>
      </w:pPr>
      <w:r>
        <w:rPr>
          <w:szCs w:val="24"/>
        </w:rPr>
        <w:t xml:space="preserve">Таблица 1. Соответствие рейтингов рейтинговых агентств </w:t>
      </w:r>
    </w:p>
    <w:p w14:paraId="3CA44C45" w14:textId="77777777" w:rsidR="008C0A68" w:rsidRDefault="008C0A68" w:rsidP="008C0A68">
      <w:pPr>
        <w:spacing w:line="360" w:lineRule="auto"/>
        <w:jc w:val="right"/>
        <w:rPr>
          <w:szCs w:val="24"/>
        </w:rPr>
      </w:pPr>
      <w:r>
        <w:rPr>
          <w:szCs w:val="24"/>
        </w:rPr>
        <w:t>(таблица пересматривается при изменении рейтинга Российской Федерации)</w:t>
      </w:r>
    </w:p>
    <w:tbl>
      <w:tblPr>
        <w:tblW w:w="5000" w:type="pct"/>
        <w:tblLook w:val="04A0" w:firstRow="1" w:lastRow="0" w:firstColumn="1" w:lastColumn="0" w:noHBand="0" w:noVBand="1"/>
      </w:tblPr>
      <w:tblGrid>
        <w:gridCol w:w="1282"/>
        <w:gridCol w:w="832"/>
        <w:gridCol w:w="939"/>
        <w:gridCol w:w="806"/>
        <w:gridCol w:w="1357"/>
        <w:gridCol w:w="1530"/>
        <w:gridCol w:w="1184"/>
        <w:gridCol w:w="1357"/>
      </w:tblGrid>
      <w:tr w:rsidR="008C0A68" w14:paraId="0746FA81" w14:textId="77777777" w:rsidTr="00E41AB9">
        <w:trPr>
          <w:trHeight w:val="383"/>
        </w:trPr>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060ED2C1" w14:textId="77777777" w:rsidR="008C0A68" w:rsidRDefault="008C0A68" w:rsidP="00E41AB9">
            <w:pPr>
              <w:pStyle w:val="Default"/>
              <w:spacing w:line="256" w:lineRule="auto"/>
              <w:jc w:val="center"/>
              <w:rPr>
                <w:sz w:val="20"/>
                <w:szCs w:val="20"/>
              </w:rPr>
            </w:pPr>
            <w:r>
              <w:rPr>
                <w:sz w:val="20"/>
                <w:szCs w:val="20"/>
              </w:rPr>
              <w:t>Рейтинговая группа</w:t>
            </w:r>
          </w:p>
        </w:tc>
        <w:tc>
          <w:tcPr>
            <w:tcW w:w="4374" w:type="pct"/>
            <w:gridSpan w:val="7"/>
            <w:tcBorders>
              <w:top w:val="single" w:sz="4" w:space="0" w:color="auto"/>
              <w:left w:val="single" w:sz="4" w:space="0" w:color="auto"/>
              <w:bottom w:val="single" w:sz="4" w:space="0" w:color="auto"/>
              <w:right w:val="single" w:sz="4" w:space="0" w:color="auto"/>
            </w:tcBorders>
            <w:vAlign w:val="center"/>
            <w:hideMark/>
          </w:tcPr>
          <w:p w14:paraId="01B7E7DF" w14:textId="77777777" w:rsidR="008C0A68" w:rsidRDefault="008C0A68" w:rsidP="00E41AB9">
            <w:pPr>
              <w:pStyle w:val="Default"/>
              <w:spacing w:line="256" w:lineRule="auto"/>
              <w:jc w:val="center"/>
              <w:rPr>
                <w:sz w:val="20"/>
                <w:szCs w:val="20"/>
              </w:rPr>
            </w:pPr>
            <w:r>
              <w:rPr>
                <w:sz w:val="20"/>
                <w:szCs w:val="20"/>
              </w:rPr>
              <w:t>Рейтинги кредитных рейтинговых агентств</w:t>
            </w:r>
          </w:p>
        </w:tc>
      </w:tr>
      <w:tr w:rsidR="008C0A68" w14:paraId="5D1A1159" w14:textId="77777777" w:rsidTr="00E41AB9">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4EBF3"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5CDCA5E1" w14:textId="77777777" w:rsidR="008C0A68" w:rsidRDefault="008C0A68" w:rsidP="00E41AB9">
            <w:pPr>
              <w:pStyle w:val="Default"/>
              <w:spacing w:line="256" w:lineRule="auto"/>
              <w:jc w:val="center"/>
              <w:rPr>
                <w:sz w:val="20"/>
                <w:szCs w:val="20"/>
              </w:rPr>
            </w:pPr>
            <w:r>
              <w:rPr>
                <w:bCs/>
                <w:sz w:val="20"/>
                <w:szCs w:val="20"/>
              </w:rPr>
              <w:t>S&amp;P</w:t>
            </w:r>
          </w:p>
        </w:tc>
        <w:tc>
          <w:tcPr>
            <w:tcW w:w="459" w:type="pct"/>
            <w:tcBorders>
              <w:top w:val="single" w:sz="4" w:space="0" w:color="auto"/>
              <w:left w:val="single" w:sz="4" w:space="0" w:color="auto"/>
              <w:bottom w:val="single" w:sz="4" w:space="0" w:color="auto"/>
              <w:right w:val="single" w:sz="4" w:space="0" w:color="auto"/>
            </w:tcBorders>
            <w:vAlign w:val="center"/>
            <w:hideMark/>
          </w:tcPr>
          <w:p w14:paraId="17D486C7" w14:textId="77777777" w:rsidR="008C0A68" w:rsidRDefault="008C0A68" w:rsidP="00E41AB9">
            <w:pPr>
              <w:pStyle w:val="Default"/>
              <w:spacing w:line="256" w:lineRule="auto"/>
              <w:jc w:val="center"/>
              <w:rPr>
                <w:sz w:val="20"/>
                <w:szCs w:val="20"/>
              </w:rPr>
            </w:pPr>
            <w:r>
              <w:rPr>
                <w:bCs/>
                <w:sz w:val="20"/>
                <w:szCs w:val="20"/>
              </w:rPr>
              <w:t>Moody`s</w:t>
            </w:r>
          </w:p>
        </w:tc>
        <w:tc>
          <w:tcPr>
            <w:tcW w:w="460" w:type="pct"/>
            <w:tcBorders>
              <w:top w:val="single" w:sz="4" w:space="0" w:color="auto"/>
              <w:left w:val="single" w:sz="4" w:space="0" w:color="auto"/>
              <w:bottom w:val="single" w:sz="4" w:space="0" w:color="auto"/>
              <w:right w:val="single" w:sz="4" w:space="0" w:color="auto"/>
            </w:tcBorders>
            <w:vAlign w:val="center"/>
            <w:hideMark/>
          </w:tcPr>
          <w:p w14:paraId="4F433232" w14:textId="77777777" w:rsidR="008C0A68" w:rsidRDefault="008C0A68" w:rsidP="00E41AB9">
            <w:pPr>
              <w:pStyle w:val="Default"/>
              <w:spacing w:line="256" w:lineRule="auto"/>
              <w:jc w:val="center"/>
              <w:rPr>
                <w:sz w:val="20"/>
                <w:szCs w:val="20"/>
              </w:rPr>
            </w:pPr>
            <w:r>
              <w:rPr>
                <w:bCs/>
                <w:sz w:val="20"/>
                <w:szCs w:val="20"/>
              </w:rPr>
              <w:t>Fitch</w:t>
            </w:r>
          </w:p>
        </w:tc>
        <w:tc>
          <w:tcPr>
            <w:tcW w:w="749" w:type="pct"/>
            <w:tcBorders>
              <w:top w:val="single" w:sz="4" w:space="0" w:color="auto"/>
              <w:left w:val="single" w:sz="4" w:space="0" w:color="auto"/>
              <w:bottom w:val="single" w:sz="4" w:space="0" w:color="auto"/>
              <w:right w:val="single" w:sz="4" w:space="0" w:color="auto"/>
            </w:tcBorders>
            <w:vAlign w:val="center"/>
            <w:hideMark/>
          </w:tcPr>
          <w:p w14:paraId="5FE980F4" w14:textId="77777777" w:rsidR="008C0A68" w:rsidRDefault="008C0A68" w:rsidP="00E41AB9">
            <w:pPr>
              <w:pStyle w:val="Default"/>
              <w:spacing w:line="256" w:lineRule="auto"/>
              <w:jc w:val="center"/>
              <w:rPr>
                <w:sz w:val="20"/>
                <w:szCs w:val="20"/>
              </w:rPr>
            </w:pPr>
            <w:r>
              <w:rPr>
                <w:sz w:val="20"/>
                <w:szCs w:val="20"/>
              </w:rPr>
              <w:t>Эксперт РА</w:t>
            </w:r>
          </w:p>
        </w:tc>
        <w:tc>
          <w:tcPr>
            <w:tcW w:w="842" w:type="pct"/>
            <w:tcBorders>
              <w:top w:val="single" w:sz="4" w:space="0" w:color="auto"/>
              <w:left w:val="single" w:sz="4" w:space="0" w:color="auto"/>
              <w:bottom w:val="single" w:sz="4" w:space="0" w:color="auto"/>
              <w:right w:val="single" w:sz="4" w:space="0" w:color="auto"/>
            </w:tcBorders>
            <w:vAlign w:val="center"/>
            <w:hideMark/>
          </w:tcPr>
          <w:p w14:paraId="1C04F3D9" w14:textId="77777777" w:rsidR="008C0A68" w:rsidRDefault="008C0A68" w:rsidP="00E41AB9">
            <w:pPr>
              <w:pStyle w:val="Default"/>
              <w:spacing w:line="256" w:lineRule="auto"/>
              <w:jc w:val="center"/>
              <w:rPr>
                <w:sz w:val="20"/>
                <w:szCs w:val="20"/>
              </w:rPr>
            </w:pPr>
            <w:r>
              <w:rPr>
                <w:sz w:val="20"/>
                <w:szCs w:val="20"/>
              </w:rPr>
              <w:t>АКРА</w:t>
            </w:r>
          </w:p>
        </w:tc>
        <w:tc>
          <w:tcPr>
            <w:tcW w:w="656" w:type="pct"/>
            <w:tcBorders>
              <w:top w:val="single" w:sz="4" w:space="0" w:color="auto"/>
              <w:left w:val="single" w:sz="4" w:space="0" w:color="auto"/>
              <w:bottom w:val="single" w:sz="4" w:space="0" w:color="auto"/>
              <w:right w:val="single" w:sz="4" w:space="0" w:color="auto"/>
            </w:tcBorders>
            <w:hideMark/>
          </w:tcPr>
          <w:p w14:paraId="050B9232" w14:textId="77777777" w:rsidR="008C0A68" w:rsidRDefault="008C0A68" w:rsidP="00E41AB9">
            <w:pPr>
              <w:pStyle w:val="Default"/>
              <w:spacing w:line="256" w:lineRule="auto"/>
              <w:jc w:val="center"/>
              <w:rPr>
                <w:sz w:val="20"/>
                <w:szCs w:val="20"/>
              </w:rPr>
            </w:pPr>
            <w:r>
              <w:rPr>
                <w:sz w:val="20"/>
                <w:szCs w:val="20"/>
              </w:rPr>
              <w:t>НКР</w:t>
            </w:r>
          </w:p>
        </w:tc>
        <w:tc>
          <w:tcPr>
            <w:tcW w:w="749" w:type="pct"/>
            <w:tcBorders>
              <w:top w:val="single" w:sz="4" w:space="0" w:color="auto"/>
              <w:left w:val="single" w:sz="4" w:space="0" w:color="auto"/>
              <w:bottom w:val="single" w:sz="4" w:space="0" w:color="auto"/>
              <w:right w:val="single" w:sz="4" w:space="0" w:color="auto"/>
            </w:tcBorders>
            <w:hideMark/>
          </w:tcPr>
          <w:p w14:paraId="27F42AC8" w14:textId="77777777" w:rsidR="008C0A68" w:rsidRDefault="008C0A68" w:rsidP="00E41AB9">
            <w:pPr>
              <w:pStyle w:val="Default"/>
              <w:spacing w:line="256" w:lineRule="auto"/>
              <w:jc w:val="center"/>
              <w:rPr>
                <w:sz w:val="20"/>
                <w:szCs w:val="20"/>
              </w:rPr>
            </w:pPr>
            <w:r>
              <w:rPr>
                <w:sz w:val="20"/>
                <w:szCs w:val="20"/>
              </w:rPr>
              <w:t>НРА</w:t>
            </w:r>
          </w:p>
        </w:tc>
      </w:tr>
      <w:tr w:rsidR="008C0A68" w14:paraId="491DAB04" w14:textId="77777777" w:rsidTr="00E41AB9">
        <w:trPr>
          <w:trHeight w:val="231"/>
        </w:trPr>
        <w:tc>
          <w:tcPr>
            <w:tcW w:w="626" w:type="pct"/>
            <w:tcBorders>
              <w:top w:val="nil"/>
              <w:left w:val="single" w:sz="4" w:space="0" w:color="auto"/>
              <w:bottom w:val="single" w:sz="4" w:space="0" w:color="auto"/>
              <w:right w:val="single" w:sz="4" w:space="0" w:color="auto"/>
            </w:tcBorders>
            <w:vAlign w:val="center"/>
            <w:hideMark/>
          </w:tcPr>
          <w:p w14:paraId="4C18633D" w14:textId="77777777" w:rsidR="008C0A68" w:rsidRDefault="008C0A68" w:rsidP="00E41AB9">
            <w:pPr>
              <w:jc w:val="center"/>
              <w:rPr>
                <w:color w:val="000000"/>
                <w:sz w:val="20"/>
              </w:rPr>
            </w:pPr>
            <w:r>
              <w:rPr>
                <w:color w:val="000000"/>
                <w:sz w:val="20"/>
              </w:rPr>
              <w:t>1</w:t>
            </w:r>
          </w:p>
        </w:tc>
        <w:tc>
          <w:tcPr>
            <w:tcW w:w="459" w:type="pct"/>
            <w:tcBorders>
              <w:top w:val="single" w:sz="4" w:space="0" w:color="auto"/>
              <w:left w:val="single" w:sz="4" w:space="0" w:color="auto"/>
              <w:bottom w:val="single" w:sz="4" w:space="0" w:color="auto"/>
              <w:right w:val="single" w:sz="4" w:space="0" w:color="auto"/>
            </w:tcBorders>
            <w:vAlign w:val="center"/>
            <w:hideMark/>
          </w:tcPr>
          <w:p w14:paraId="5EA4082E" w14:textId="77777777" w:rsidR="008C0A68" w:rsidRDefault="008C0A68" w:rsidP="00E41AB9">
            <w:pPr>
              <w:pStyle w:val="Default"/>
              <w:spacing w:line="256" w:lineRule="auto"/>
              <w:jc w:val="center"/>
              <w:rPr>
                <w:sz w:val="20"/>
                <w:szCs w:val="20"/>
              </w:rPr>
            </w:pPr>
            <w:r>
              <w:rPr>
                <w:sz w:val="20"/>
                <w:szCs w:val="20"/>
              </w:rPr>
              <w:t>2</w:t>
            </w:r>
          </w:p>
        </w:tc>
        <w:tc>
          <w:tcPr>
            <w:tcW w:w="459" w:type="pct"/>
            <w:tcBorders>
              <w:top w:val="single" w:sz="4" w:space="0" w:color="auto"/>
              <w:left w:val="single" w:sz="4" w:space="0" w:color="auto"/>
              <w:bottom w:val="single" w:sz="4" w:space="0" w:color="auto"/>
              <w:right w:val="single" w:sz="4" w:space="0" w:color="auto"/>
            </w:tcBorders>
            <w:vAlign w:val="center"/>
            <w:hideMark/>
          </w:tcPr>
          <w:p w14:paraId="55DAB190" w14:textId="77777777" w:rsidR="008C0A68" w:rsidRDefault="008C0A68" w:rsidP="00E41AB9">
            <w:pPr>
              <w:pStyle w:val="Default"/>
              <w:spacing w:line="256" w:lineRule="auto"/>
              <w:jc w:val="center"/>
              <w:rPr>
                <w:sz w:val="20"/>
                <w:szCs w:val="20"/>
              </w:rPr>
            </w:pPr>
            <w:r>
              <w:rPr>
                <w:sz w:val="20"/>
                <w:szCs w:val="20"/>
              </w:rPr>
              <w:t>3</w:t>
            </w:r>
          </w:p>
        </w:tc>
        <w:tc>
          <w:tcPr>
            <w:tcW w:w="460" w:type="pct"/>
            <w:tcBorders>
              <w:top w:val="single" w:sz="4" w:space="0" w:color="auto"/>
              <w:left w:val="single" w:sz="4" w:space="0" w:color="auto"/>
              <w:bottom w:val="single" w:sz="4" w:space="0" w:color="auto"/>
              <w:right w:val="single" w:sz="4" w:space="0" w:color="auto"/>
            </w:tcBorders>
            <w:vAlign w:val="center"/>
            <w:hideMark/>
          </w:tcPr>
          <w:p w14:paraId="41DACDE2" w14:textId="77777777" w:rsidR="008C0A68" w:rsidRDefault="008C0A68" w:rsidP="00E41AB9">
            <w:pPr>
              <w:pStyle w:val="Default"/>
              <w:spacing w:line="256" w:lineRule="auto"/>
              <w:jc w:val="center"/>
              <w:rPr>
                <w:sz w:val="20"/>
                <w:szCs w:val="20"/>
              </w:rPr>
            </w:pPr>
            <w:r>
              <w:rPr>
                <w:sz w:val="20"/>
                <w:szCs w:val="20"/>
              </w:rPr>
              <w:t>4</w:t>
            </w:r>
          </w:p>
        </w:tc>
        <w:tc>
          <w:tcPr>
            <w:tcW w:w="749" w:type="pct"/>
            <w:tcBorders>
              <w:top w:val="single" w:sz="4" w:space="0" w:color="auto"/>
              <w:left w:val="single" w:sz="4" w:space="0" w:color="auto"/>
              <w:bottom w:val="single" w:sz="4" w:space="0" w:color="auto"/>
              <w:right w:val="single" w:sz="4" w:space="0" w:color="auto"/>
            </w:tcBorders>
            <w:vAlign w:val="center"/>
            <w:hideMark/>
          </w:tcPr>
          <w:p w14:paraId="02193883" w14:textId="77777777" w:rsidR="008C0A68" w:rsidRDefault="008C0A68" w:rsidP="00E41AB9">
            <w:pPr>
              <w:pStyle w:val="Default"/>
              <w:spacing w:line="256" w:lineRule="auto"/>
              <w:jc w:val="center"/>
              <w:rPr>
                <w:sz w:val="20"/>
                <w:szCs w:val="20"/>
              </w:rPr>
            </w:pPr>
            <w:r>
              <w:rPr>
                <w:sz w:val="20"/>
                <w:szCs w:val="20"/>
              </w:rPr>
              <w:t>5</w:t>
            </w:r>
          </w:p>
        </w:tc>
        <w:tc>
          <w:tcPr>
            <w:tcW w:w="842" w:type="pct"/>
            <w:tcBorders>
              <w:top w:val="single" w:sz="4" w:space="0" w:color="auto"/>
              <w:left w:val="single" w:sz="4" w:space="0" w:color="auto"/>
              <w:bottom w:val="single" w:sz="4" w:space="0" w:color="auto"/>
              <w:right w:val="single" w:sz="4" w:space="0" w:color="auto"/>
            </w:tcBorders>
            <w:vAlign w:val="center"/>
            <w:hideMark/>
          </w:tcPr>
          <w:p w14:paraId="1C99B22A" w14:textId="77777777" w:rsidR="008C0A68" w:rsidRDefault="008C0A68" w:rsidP="00E41AB9">
            <w:pPr>
              <w:pStyle w:val="Default"/>
              <w:spacing w:line="256" w:lineRule="auto"/>
              <w:jc w:val="center"/>
              <w:rPr>
                <w:sz w:val="20"/>
                <w:szCs w:val="20"/>
              </w:rPr>
            </w:pPr>
            <w:r>
              <w:rPr>
                <w:sz w:val="20"/>
                <w:szCs w:val="20"/>
              </w:rPr>
              <w:t>6</w:t>
            </w:r>
          </w:p>
        </w:tc>
        <w:tc>
          <w:tcPr>
            <w:tcW w:w="656" w:type="pct"/>
            <w:tcBorders>
              <w:top w:val="single" w:sz="4" w:space="0" w:color="auto"/>
              <w:left w:val="single" w:sz="4" w:space="0" w:color="auto"/>
              <w:bottom w:val="single" w:sz="4" w:space="0" w:color="auto"/>
              <w:right w:val="single" w:sz="4" w:space="0" w:color="auto"/>
            </w:tcBorders>
            <w:hideMark/>
          </w:tcPr>
          <w:p w14:paraId="4F54AE0E" w14:textId="77777777" w:rsidR="008C0A68" w:rsidRDefault="008C0A68" w:rsidP="00E41AB9">
            <w:pPr>
              <w:pStyle w:val="Default"/>
              <w:spacing w:line="256" w:lineRule="auto"/>
              <w:jc w:val="center"/>
              <w:rPr>
                <w:sz w:val="20"/>
                <w:szCs w:val="20"/>
              </w:rPr>
            </w:pPr>
            <w:r>
              <w:rPr>
                <w:sz w:val="20"/>
                <w:szCs w:val="20"/>
              </w:rPr>
              <w:t>7</w:t>
            </w:r>
          </w:p>
        </w:tc>
        <w:tc>
          <w:tcPr>
            <w:tcW w:w="749" w:type="pct"/>
            <w:tcBorders>
              <w:top w:val="single" w:sz="4" w:space="0" w:color="auto"/>
              <w:left w:val="single" w:sz="4" w:space="0" w:color="auto"/>
              <w:bottom w:val="single" w:sz="4" w:space="0" w:color="auto"/>
              <w:right w:val="single" w:sz="4" w:space="0" w:color="auto"/>
            </w:tcBorders>
            <w:hideMark/>
          </w:tcPr>
          <w:p w14:paraId="7EA633C9" w14:textId="77777777" w:rsidR="008C0A68" w:rsidRDefault="008C0A68" w:rsidP="00E41AB9">
            <w:pPr>
              <w:pStyle w:val="Default"/>
              <w:spacing w:line="256" w:lineRule="auto"/>
              <w:jc w:val="center"/>
              <w:rPr>
                <w:sz w:val="20"/>
                <w:szCs w:val="20"/>
              </w:rPr>
            </w:pPr>
            <w:r>
              <w:rPr>
                <w:sz w:val="20"/>
                <w:szCs w:val="20"/>
              </w:rPr>
              <w:t>8</w:t>
            </w:r>
          </w:p>
        </w:tc>
      </w:tr>
      <w:tr w:rsidR="008C0A68" w14:paraId="0BCD5ABC" w14:textId="77777777" w:rsidTr="00E41AB9">
        <w:trPr>
          <w:trHeight w:val="271"/>
        </w:trPr>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1236A22E"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w:t>
            </w:r>
          </w:p>
        </w:tc>
        <w:tc>
          <w:tcPr>
            <w:tcW w:w="459" w:type="pct"/>
            <w:tcBorders>
              <w:top w:val="single" w:sz="4" w:space="0" w:color="auto"/>
              <w:left w:val="single" w:sz="4" w:space="0" w:color="auto"/>
              <w:bottom w:val="single" w:sz="4" w:space="0" w:color="auto"/>
              <w:right w:val="single" w:sz="4" w:space="0" w:color="auto"/>
            </w:tcBorders>
            <w:vAlign w:val="center"/>
            <w:hideMark/>
          </w:tcPr>
          <w:p w14:paraId="54F87D80" w14:textId="77777777" w:rsidR="008C0A68" w:rsidRDefault="008C0A68" w:rsidP="00E41AB9">
            <w:pPr>
              <w:jc w:val="center"/>
              <w:rPr>
                <w:color w:val="000000"/>
                <w:sz w:val="20"/>
              </w:rPr>
            </w:pPr>
            <w:r>
              <w:rPr>
                <w:color w:val="000000"/>
                <w:sz w:val="20"/>
              </w:rPr>
              <w:t>AAA</w:t>
            </w:r>
          </w:p>
        </w:tc>
        <w:tc>
          <w:tcPr>
            <w:tcW w:w="459" w:type="pct"/>
            <w:tcBorders>
              <w:top w:val="single" w:sz="4" w:space="0" w:color="auto"/>
              <w:left w:val="single" w:sz="4" w:space="0" w:color="auto"/>
              <w:bottom w:val="single" w:sz="4" w:space="0" w:color="auto"/>
              <w:right w:val="single" w:sz="4" w:space="0" w:color="auto"/>
            </w:tcBorders>
            <w:vAlign w:val="center"/>
            <w:hideMark/>
          </w:tcPr>
          <w:p w14:paraId="5BF37994" w14:textId="77777777" w:rsidR="008C0A68" w:rsidRDefault="008C0A68" w:rsidP="00E41AB9">
            <w:pPr>
              <w:jc w:val="center"/>
              <w:rPr>
                <w:color w:val="000000"/>
                <w:sz w:val="20"/>
              </w:rPr>
            </w:pPr>
            <w:r>
              <w:rPr>
                <w:color w:val="000000"/>
                <w:sz w:val="20"/>
              </w:rPr>
              <w:t>Aaa</w:t>
            </w:r>
          </w:p>
        </w:tc>
        <w:tc>
          <w:tcPr>
            <w:tcW w:w="460" w:type="pct"/>
            <w:tcBorders>
              <w:top w:val="single" w:sz="4" w:space="0" w:color="auto"/>
              <w:left w:val="single" w:sz="4" w:space="0" w:color="auto"/>
              <w:bottom w:val="single" w:sz="4" w:space="0" w:color="auto"/>
              <w:right w:val="single" w:sz="4" w:space="0" w:color="auto"/>
            </w:tcBorders>
            <w:vAlign w:val="center"/>
            <w:hideMark/>
          </w:tcPr>
          <w:p w14:paraId="268C1A0E" w14:textId="77777777" w:rsidR="008C0A68" w:rsidRDefault="008C0A68" w:rsidP="00E41AB9">
            <w:pPr>
              <w:jc w:val="center"/>
              <w:rPr>
                <w:color w:val="000000"/>
                <w:sz w:val="20"/>
              </w:rPr>
            </w:pPr>
            <w:r>
              <w:rPr>
                <w:color w:val="000000"/>
                <w:sz w:val="20"/>
              </w:rPr>
              <w:t>AAA</w:t>
            </w:r>
          </w:p>
        </w:tc>
        <w:tc>
          <w:tcPr>
            <w:tcW w:w="749" w:type="pct"/>
            <w:tcBorders>
              <w:top w:val="single" w:sz="4" w:space="0" w:color="auto"/>
              <w:left w:val="single" w:sz="4" w:space="0" w:color="auto"/>
              <w:bottom w:val="single" w:sz="4" w:space="0" w:color="auto"/>
              <w:right w:val="single" w:sz="4" w:space="0" w:color="auto"/>
            </w:tcBorders>
            <w:vAlign w:val="center"/>
          </w:tcPr>
          <w:p w14:paraId="67D04527" w14:textId="77777777" w:rsidR="008C0A68" w:rsidRDefault="008C0A68" w:rsidP="00E41AB9">
            <w:pPr>
              <w:pStyle w:val="Default"/>
              <w:spacing w:line="256" w:lineRule="auto"/>
              <w:jc w:val="center"/>
              <w:rPr>
                <w:sz w:val="20"/>
                <w:szCs w:val="20"/>
                <w:lang w:eastAsia="en-US"/>
              </w:rPr>
            </w:pPr>
          </w:p>
        </w:tc>
        <w:tc>
          <w:tcPr>
            <w:tcW w:w="842" w:type="pct"/>
            <w:tcBorders>
              <w:top w:val="single" w:sz="4" w:space="0" w:color="auto"/>
              <w:left w:val="single" w:sz="4" w:space="0" w:color="auto"/>
              <w:bottom w:val="single" w:sz="4" w:space="0" w:color="auto"/>
              <w:right w:val="single" w:sz="4" w:space="0" w:color="auto"/>
            </w:tcBorders>
            <w:vAlign w:val="center"/>
          </w:tcPr>
          <w:p w14:paraId="3BF9E09B"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7C2A6250"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010A8643" w14:textId="77777777" w:rsidR="008C0A68" w:rsidRDefault="008C0A68" w:rsidP="00E41AB9">
            <w:pPr>
              <w:pStyle w:val="Default"/>
              <w:spacing w:line="256" w:lineRule="auto"/>
              <w:jc w:val="center"/>
              <w:rPr>
                <w:sz w:val="20"/>
                <w:szCs w:val="20"/>
              </w:rPr>
            </w:pPr>
          </w:p>
        </w:tc>
      </w:tr>
      <w:tr w:rsidR="008C0A68" w14:paraId="6F1FEEFF"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EA015"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11F03D68" w14:textId="77777777" w:rsidR="008C0A68" w:rsidRDefault="008C0A68" w:rsidP="00E41AB9">
            <w:pPr>
              <w:jc w:val="center"/>
              <w:rPr>
                <w:color w:val="000000"/>
                <w:sz w:val="20"/>
              </w:rPr>
            </w:pPr>
            <w:r>
              <w:rPr>
                <w:color w:val="000000"/>
                <w:sz w:val="20"/>
              </w:rPr>
              <w:t>AA+</w:t>
            </w:r>
          </w:p>
        </w:tc>
        <w:tc>
          <w:tcPr>
            <w:tcW w:w="459" w:type="pct"/>
            <w:tcBorders>
              <w:top w:val="single" w:sz="4" w:space="0" w:color="auto"/>
              <w:left w:val="single" w:sz="4" w:space="0" w:color="auto"/>
              <w:bottom w:val="single" w:sz="4" w:space="0" w:color="auto"/>
              <w:right w:val="single" w:sz="4" w:space="0" w:color="auto"/>
            </w:tcBorders>
            <w:vAlign w:val="center"/>
            <w:hideMark/>
          </w:tcPr>
          <w:p w14:paraId="48706CA3" w14:textId="77777777" w:rsidR="008C0A68" w:rsidRDefault="008C0A68" w:rsidP="00E41AB9">
            <w:pPr>
              <w:jc w:val="center"/>
              <w:rPr>
                <w:color w:val="000000"/>
                <w:sz w:val="20"/>
              </w:rPr>
            </w:pPr>
            <w:r>
              <w:rPr>
                <w:color w:val="000000"/>
                <w:sz w:val="20"/>
              </w:rPr>
              <w:t>Aa1</w:t>
            </w:r>
          </w:p>
        </w:tc>
        <w:tc>
          <w:tcPr>
            <w:tcW w:w="460" w:type="pct"/>
            <w:tcBorders>
              <w:top w:val="single" w:sz="4" w:space="0" w:color="auto"/>
              <w:left w:val="single" w:sz="4" w:space="0" w:color="auto"/>
              <w:bottom w:val="single" w:sz="4" w:space="0" w:color="auto"/>
              <w:right w:val="single" w:sz="4" w:space="0" w:color="auto"/>
            </w:tcBorders>
            <w:vAlign w:val="center"/>
            <w:hideMark/>
          </w:tcPr>
          <w:p w14:paraId="1C04895A" w14:textId="77777777" w:rsidR="008C0A68" w:rsidRDefault="008C0A68" w:rsidP="00E41AB9">
            <w:pPr>
              <w:jc w:val="center"/>
              <w:rPr>
                <w:color w:val="000000"/>
                <w:sz w:val="20"/>
              </w:rPr>
            </w:pPr>
            <w:r>
              <w:rPr>
                <w:color w:val="000000"/>
                <w:sz w:val="20"/>
              </w:rPr>
              <w:t>AA+</w:t>
            </w:r>
          </w:p>
        </w:tc>
        <w:tc>
          <w:tcPr>
            <w:tcW w:w="749" w:type="pct"/>
            <w:tcBorders>
              <w:top w:val="single" w:sz="4" w:space="0" w:color="auto"/>
              <w:left w:val="single" w:sz="4" w:space="0" w:color="auto"/>
              <w:bottom w:val="single" w:sz="4" w:space="0" w:color="auto"/>
              <w:right w:val="single" w:sz="4" w:space="0" w:color="auto"/>
            </w:tcBorders>
            <w:vAlign w:val="center"/>
          </w:tcPr>
          <w:p w14:paraId="7515F6E4" w14:textId="77777777" w:rsidR="008C0A68" w:rsidRDefault="008C0A68" w:rsidP="00E41AB9">
            <w:pPr>
              <w:pStyle w:val="Default"/>
              <w:spacing w:line="256" w:lineRule="auto"/>
              <w:jc w:val="center"/>
              <w:rPr>
                <w:sz w:val="20"/>
                <w:szCs w:val="20"/>
                <w:lang w:eastAsia="en-US"/>
              </w:rPr>
            </w:pPr>
          </w:p>
        </w:tc>
        <w:tc>
          <w:tcPr>
            <w:tcW w:w="842" w:type="pct"/>
            <w:tcBorders>
              <w:top w:val="single" w:sz="4" w:space="0" w:color="auto"/>
              <w:left w:val="single" w:sz="4" w:space="0" w:color="auto"/>
              <w:bottom w:val="single" w:sz="4" w:space="0" w:color="auto"/>
              <w:right w:val="single" w:sz="4" w:space="0" w:color="auto"/>
            </w:tcBorders>
            <w:vAlign w:val="center"/>
          </w:tcPr>
          <w:p w14:paraId="66AD87AE"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2A3B0BFC"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364779FF" w14:textId="77777777" w:rsidR="008C0A68" w:rsidRDefault="008C0A68" w:rsidP="00E41AB9">
            <w:pPr>
              <w:pStyle w:val="Default"/>
              <w:spacing w:line="256" w:lineRule="auto"/>
              <w:jc w:val="center"/>
              <w:rPr>
                <w:sz w:val="20"/>
                <w:szCs w:val="20"/>
              </w:rPr>
            </w:pPr>
          </w:p>
        </w:tc>
      </w:tr>
      <w:tr w:rsidR="008C0A68" w14:paraId="1717B249"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091CA"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7785D49C" w14:textId="77777777" w:rsidR="008C0A68" w:rsidRDefault="008C0A68" w:rsidP="00E41AB9">
            <w:pPr>
              <w:jc w:val="center"/>
              <w:rPr>
                <w:color w:val="000000"/>
                <w:sz w:val="20"/>
              </w:rPr>
            </w:pPr>
            <w:r>
              <w:rPr>
                <w:color w:val="000000"/>
                <w:sz w:val="20"/>
              </w:rPr>
              <w:t>AA</w:t>
            </w:r>
          </w:p>
        </w:tc>
        <w:tc>
          <w:tcPr>
            <w:tcW w:w="459" w:type="pct"/>
            <w:tcBorders>
              <w:top w:val="single" w:sz="4" w:space="0" w:color="auto"/>
              <w:left w:val="single" w:sz="4" w:space="0" w:color="auto"/>
              <w:bottom w:val="single" w:sz="4" w:space="0" w:color="auto"/>
              <w:right w:val="single" w:sz="4" w:space="0" w:color="auto"/>
            </w:tcBorders>
            <w:vAlign w:val="center"/>
            <w:hideMark/>
          </w:tcPr>
          <w:p w14:paraId="643A69E4" w14:textId="77777777" w:rsidR="008C0A68" w:rsidRDefault="008C0A68" w:rsidP="00E41AB9">
            <w:pPr>
              <w:jc w:val="center"/>
              <w:rPr>
                <w:color w:val="000000"/>
                <w:sz w:val="20"/>
              </w:rPr>
            </w:pPr>
            <w:r>
              <w:rPr>
                <w:color w:val="000000"/>
                <w:sz w:val="20"/>
              </w:rPr>
              <w:t>Aa2</w:t>
            </w:r>
          </w:p>
        </w:tc>
        <w:tc>
          <w:tcPr>
            <w:tcW w:w="460" w:type="pct"/>
            <w:tcBorders>
              <w:top w:val="single" w:sz="4" w:space="0" w:color="auto"/>
              <w:left w:val="single" w:sz="4" w:space="0" w:color="auto"/>
              <w:bottom w:val="single" w:sz="4" w:space="0" w:color="auto"/>
              <w:right w:val="single" w:sz="4" w:space="0" w:color="auto"/>
            </w:tcBorders>
            <w:vAlign w:val="center"/>
            <w:hideMark/>
          </w:tcPr>
          <w:p w14:paraId="2FFD4E88" w14:textId="77777777" w:rsidR="008C0A68" w:rsidRDefault="008C0A68" w:rsidP="00E41AB9">
            <w:pPr>
              <w:jc w:val="center"/>
              <w:rPr>
                <w:color w:val="000000"/>
                <w:sz w:val="20"/>
              </w:rPr>
            </w:pPr>
            <w:r>
              <w:rPr>
                <w:color w:val="000000"/>
                <w:sz w:val="20"/>
              </w:rPr>
              <w:t>AA</w:t>
            </w:r>
          </w:p>
        </w:tc>
        <w:tc>
          <w:tcPr>
            <w:tcW w:w="749" w:type="pct"/>
            <w:tcBorders>
              <w:top w:val="single" w:sz="4" w:space="0" w:color="auto"/>
              <w:left w:val="single" w:sz="4" w:space="0" w:color="auto"/>
              <w:bottom w:val="single" w:sz="4" w:space="0" w:color="auto"/>
              <w:right w:val="single" w:sz="4" w:space="0" w:color="auto"/>
            </w:tcBorders>
            <w:vAlign w:val="center"/>
          </w:tcPr>
          <w:p w14:paraId="23BA972B" w14:textId="77777777" w:rsidR="008C0A68" w:rsidRDefault="008C0A68" w:rsidP="00E41AB9">
            <w:pPr>
              <w:pStyle w:val="Default"/>
              <w:spacing w:line="256" w:lineRule="auto"/>
              <w:jc w:val="center"/>
              <w:rPr>
                <w:sz w:val="20"/>
                <w:szCs w:val="20"/>
                <w:lang w:eastAsia="en-US"/>
              </w:rPr>
            </w:pPr>
          </w:p>
        </w:tc>
        <w:tc>
          <w:tcPr>
            <w:tcW w:w="842" w:type="pct"/>
            <w:tcBorders>
              <w:top w:val="single" w:sz="4" w:space="0" w:color="auto"/>
              <w:left w:val="single" w:sz="4" w:space="0" w:color="auto"/>
              <w:bottom w:val="single" w:sz="4" w:space="0" w:color="auto"/>
              <w:right w:val="single" w:sz="4" w:space="0" w:color="auto"/>
            </w:tcBorders>
            <w:vAlign w:val="center"/>
          </w:tcPr>
          <w:p w14:paraId="48460557"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4147C7B4"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79C509D9" w14:textId="77777777" w:rsidR="008C0A68" w:rsidRDefault="008C0A68" w:rsidP="00E41AB9">
            <w:pPr>
              <w:pStyle w:val="Default"/>
              <w:spacing w:line="256" w:lineRule="auto"/>
              <w:jc w:val="center"/>
              <w:rPr>
                <w:sz w:val="20"/>
                <w:szCs w:val="20"/>
              </w:rPr>
            </w:pPr>
          </w:p>
        </w:tc>
      </w:tr>
      <w:tr w:rsidR="008C0A68" w14:paraId="6D9CC8A4"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1F5617"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64367357" w14:textId="77777777" w:rsidR="008C0A68" w:rsidRDefault="008C0A68" w:rsidP="00E41AB9">
            <w:pPr>
              <w:jc w:val="center"/>
              <w:rPr>
                <w:color w:val="000000"/>
                <w:sz w:val="20"/>
              </w:rPr>
            </w:pPr>
            <w:r>
              <w:rPr>
                <w:color w:val="000000"/>
                <w:sz w:val="20"/>
              </w:rPr>
              <w:t>AA-</w:t>
            </w:r>
          </w:p>
        </w:tc>
        <w:tc>
          <w:tcPr>
            <w:tcW w:w="459" w:type="pct"/>
            <w:tcBorders>
              <w:top w:val="single" w:sz="4" w:space="0" w:color="auto"/>
              <w:left w:val="single" w:sz="4" w:space="0" w:color="auto"/>
              <w:bottom w:val="single" w:sz="4" w:space="0" w:color="auto"/>
              <w:right w:val="single" w:sz="4" w:space="0" w:color="auto"/>
            </w:tcBorders>
            <w:vAlign w:val="center"/>
            <w:hideMark/>
          </w:tcPr>
          <w:p w14:paraId="17F3B949" w14:textId="77777777" w:rsidR="008C0A68" w:rsidRDefault="008C0A68" w:rsidP="00E41AB9">
            <w:pPr>
              <w:jc w:val="center"/>
              <w:rPr>
                <w:color w:val="000000"/>
                <w:sz w:val="20"/>
              </w:rPr>
            </w:pPr>
            <w:r>
              <w:rPr>
                <w:color w:val="000000"/>
                <w:sz w:val="20"/>
              </w:rPr>
              <w:t>Aa3</w:t>
            </w:r>
          </w:p>
        </w:tc>
        <w:tc>
          <w:tcPr>
            <w:tcW w:w="460" w:type="pct"/>
            <w:tcBorders>
              <w:top w:val="single" w:sz="4" w:space="0" w:color="auto"/>
              <w:left w:val="single" w:sz="4" w:space="0" w:color="auto"/>
              <w:bottom w:val="single" w:sz="4" w:space="0" w:color="auto"/>
              <w:right w:val="single" w:sz="4" w:space="0" w:color="auto"/>
            </w:tcBorders>
            <w:vAlign w:val="center"/>
            <w:hideMark/>
          </w:tcPr>
          <w:p w14:paraId="7C17E67B" w14:textId="77777777" w:rsidR="008C0A68" w:rsidRDefault="008C0A68" w:rsidP="00E41AB9">
            <w:pPr>
              <w:jc w:val="center"/>
              <w:rPr>
                <w:color w:val="000000"/>
                <w:sz w:val="20"/>
              </w:rPr>
            </w:pPr>
            <w:r>
              <w:rPr>
                <w:color w:val="000000"/>
                <w:sz w:val="20"/>
              </w:rPr>
              <w:t>AA-</w:t>
            </w:r>
          </w:p>
        </w:tc>
        <w:tc>
          <w:tcPr>
            <w:tcW w:w="749" w:type="pct"/>
            <w:tcBorders>
              <w:top w:val="single" w:sz="4" w:space="0" w:color="auto"/>
              <w:left w:val="single" w:sz="4" w:space="0" w:color="auto"/>
              <w:bottom w:val="single" w:sz="4" w:space="0" w:color="auto"/>
              <w:right w:val="single" w:sz="4" w:space="0" w:color="auto"/>
            </w:tcBorders>
            <w:vAlign w:val="center"/>
          </w:tcPr>
          <w:p w14:paraId="3BF1E908" w14:textId="77777777" w:rsidR="008C0A68" w:rsidRDefault="008C0A68" w:rsidP="00E41AB9">
            <w:pPr>
              <w:pStyle w:val="Default"/>
              <w:spacing w:line="256" w:lineRule="auto"/>
              <w:jc w:val="center"/>
              <w:rPr>
                <w:sz w:val="20"/>
                <w:szCs w:val="20"/>
                <w:lang w:eastAsia="en-US"/>
              </w:rPr>
            </w:pPr>
          </w:p>
        </w:tc>
        <w:tc>
          <w:tcPr>
            <w:tcW w:w="842" w:type="pct"/>
            <w:tcBorders>
              <w:top w:val="single" w:sz="4" w:space="0" w:color="auto"/>
              <w:left w:val="single" w:sz="4" w:space="0" w:color="auto"/>
              <w:bottom w:val="single" w:sz="4" w:space="0" w:color="auto"/>
              <w:right w:val="single" w:sz="4" w:space="0" w:color="auto"/>
            </w:tcBorders>
            <w:vAlign w:val="center"/>
          </w:tcPr>
          <w:p w14:paraId="4A85A48F"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0406D4D3"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151F5216" w14:textId="77777777" w:rsidR="008C0A68" w:rsidRDefault="008C0A68" w:rsidP="00E41AB9">
            <w:pPr>
              <w:pStyle w:val="Default"/>
              <w:spacing w:line="256" w:lineRule="auto"/>
              <w:jc w:val="center"/>
              <w:rPr>
                <w:sz w:val="20"/>
                <w:szCs w:val="20"/>
              </w:rPr>
            </w:pPr>
          </w:p>
        </w:tc>
      </w:tr>
      <w:tr w:rsidR="008C0A68" w14:paraId="3906279A"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CA33B0"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122DC760" w14:textId="77777777" w:rsidR="008C0A68" w:rsidRDefault="008C0A68" w:rsidP="00E41AB9">
            <w:pPr>
              <w:jc w:val="center"/>
              <w:rPr>
                <w:color w:val="000000"/>
                <w:sz w:val="20"/>
              </w:rPr>
            </w:pPr>
            <w:r>
              <w:rPr>
                <w:color w:val="000000"/>
                <w:sz w:val="20"/>
              </w:rPr>
              <w:t>A+</w:t>
            </w:r>
          </w:p>
        </w:tc>
        <w:tc>
          <w:tcPr>
            <w:tcW w:w="459" w:type="pct"/>
            <w:tcBorders>
              <w:top w:val="single" w:sz="4" w:space="0" w:color="auto"/>
              <w:left w:val="single" w:sz="4" w:space="0" w:color="auto"/>
              <w:bottom w:val="single" w:sz="4" w:space="0" w:color="auto"/>
              <w:right w:val="single" w:sz="4" w:space="0" w:color="auto"/>
            </w:tcBorders>
            <w:vAlign w:val="center"/>
            <w:hideMark/>
          </w:tcPr>
          <w:p w14:paraId="01465897" w14:textId="77777777" w:rsidR="008C0A68" w:rsidRDefault="008C0A68" w:rsidP="00E41AB9">
            <w:pPr>
              <w:jc w:val="center"/>
              <w:rPr>
                <w:color w:val="000000"/>
                <w:sz w:val="20"/>
              </w:rPr>
            </w:pPr>
            <w:r>
              <w:rPr>
                <w:color w:val="000000"/>
                <w:sz w:val="20"/>
              </w:rPr>
              <w:t>A1</w:t>
            </w:r>
          </w:p>
        </w:tc>
        <w:tc>
          <w:tcPr>
            <w:tcW w:w="460" w:type="pct"/>
            <w:tcBorders>
              <w:top w:val="single" w:sz="4" w:space="0" w:color="auto"/>
              <w:left w:val="single" w:sz="4" w:space="0" w:color="auto"/>
              <w:bottom w:val="single" w:sz="4" w:space="0" w:color="auto"/>
              <w:right w:val="single" w:sz="4" w:space="0" w:color="auto"/>
            </w:tcBorders>
            <w:vAlign w:val="center"/>
            <w:hideMark/>
          </w:tcPr>
          <w:p w14:paraId="02C13A81" w14:textId="77777777" w:rsidR="008C0A68" w:rsidRDefault="008C0A68" w:rsidP="00E41AB9">
            <w:pPr>
              <w:jc w:val="center"/>
              <w:rPr>
                <w:color w:val="000000"/>
                <w:sz w:val="20"/>
              </w:rPr>
            </w:pPr>
            <w:r>
              <w:rPr>
                <w:color w:val="000000"/>
                <w:sz w:val="20"/>
              </w:rPr>
              <w:t>A+</w:t>
            </w:r>
          </w:p>
        </w:tc>
        <w:tc>
          <w:tcPr>
            <w:tcW w:w="749" w:type="pct"/>
            <w:tcBorders>
              <w:top w:val="single" w:sz="4" w:space="0" w:color="auto"/>
              <w:left w:val="single" w:sz="4" w:space="0" w:color="auto"/>
              <w:bottom w:val="single" w:sz="4" w:space="0" w:color="auto"/>
              <w:right w:val="single" w:sz="4" w:space="0" w:color="auto"/>
            </w:tcBorders>
            <w:vAlign w:val="center"/>
          </w:tcPr>
          <w:p w14:paraId="49EE0955" w14:textId="77777777" w:rsidR="008C0A68" w:rsidRDefault="008C0A68" w:rsidP="00E41AB9">
            <w:pPr>
              <w:pStyle w:val="Default"/>
              <w:spacing w:line="256" w:lineRule="auto"/>
              <w:jc w:val="center"/>
              <w:rPr>
                <w:sz w:val="20"/>
                <w:szCs w:val="20"/>
                <w:lang w:eastAsia="en-US"/>
              </w:rPr>
            </w:pPr>
          </w:p>
        </w:tc>
        <w:tc>
          <w:tcPr>
            <w:tcW w:w="842" w:type="pct"/>
            <w:tcBorders>
              <w:top w:val="single" w:sz="4" w:space="0" w:color="auto"/>
              <w:left w:val="single" w:sz="4" w:space="0" w:color="auto"/>
              <w:bottom w:val="single" w:sz="4" w:space="0" w:color="auto"/>
              <w:right w:val="single" w:sz="4" w:space="0" w:color="auto"/>
            </w:tcBorders>
            <w:vAlign w:val="center"/>
          </w:tcPr>
          <w:p w14:paraId="4BE8D622"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3E6BB62F"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45390F20" w14:textId="77777777" w:rsidR="008C0A68" w:rsidRDefault="008C0A68" w:rsidP="00E41AB9">
            <w:pPr>
              <w:pStyle w:val="Default"/>
              <w:spacing w:line="256" w:lineRule="auto"/>
              <w:jc w:val="center"/>
              <w:rPr>
                <w:sz w:val="20"/>
                <w:szCs w:val="20"/>
              </w:rPr>
            </w:pPr>
          </w:p>
        </w:tc>
      </w:tr>
      <w:tr w:rsidR="008C0A68" w14:paraId="556B46E3"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A04C7"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33062B39" w14:textId="77777777" w:rsidR="008C0A68" w:rsidRDefault="008C0A68" w:rsidP="00E41AB9">
            <w:pPr>
              <w:jc w:val="center"/>
              <w:rPr>
                <w:color w:val="000000"/>
                <w:sz w:val="20"/>
              </w:rPr>
            </w:pPr>
            <w:r>
              <w:rPr>
                <w:color w:val="000000"/>
                <w:sz w:val="20"/>
              </w:rPr>
              <w:t>A</w:t>
            </w:r>
          </w:p>
        </w:tc>
        <w:tc>
          <w:tcPr>
            <w:tcW w:w="459" w:type="pct"/>
            <w:tcBorders>
              <w:top w:val="single" w:sz="4" w:space="0" w:color="auto"/>
              <w:left w:val="single" w:sz="4" w:space="0" w:color="auto"/>
              <w:bottom w:val="single" w:sz="4" w:space="0" w:color="auto"/>
              <w:right w:val="single" w:sz="4" w:space="0" w:color="auto"/>
            </w:tcBorders>
            <w:vAlign w:val="center"/>
            <w:hideMark/>
          </w:tcPr>
          <w:p w14:paraId="0EB4F6E3" w14:textId="77777777" w:rsidR="008C0A68" w:rsidRDefault="008C0A68" w:rsidP="00E41AB9">
            <w:pPr>
              <w:jc w:val="center"/>
              <w:rPr>
                <w:color w:val="000000"/>
                <w:sz w:val="20"/>
              </w:rPr>
            </w:pPr>
            <w:r>
              <w:rPr>
                <w:color w:val="000000"/>
                <w:sz w:val="20"/>
              </w:rPr>
              <w:t>A1</w:t>
            </w:r>
          </w:p>
        </w:tc>
        <w:tc>
          <w:tcPr>
            <w:tcW w:w="460" w:type="pct"/>
            <w:tcBorders>
              <w:top w:val="single" w:sz="4" w:space="0" w:color="auto"/>
              <w:left w:val="single" w:sz="4" w:space="0" w:color="auto"/>
              <w:bottom w:val="single" w:sz="4" w:space="0" w:color="auto"/>
              <w:right w:val="single" w:sz="4" w:space="0" w:color="auto"/>
            </w:tcBorders>
            <w:vAlign w:val="center"/>
            <w:hideMark/>
          </w:tcPr>
          <w:p w14:paraId="4F701963" w14:textId="77777777" w:rsidR="008C0A68" w:rsidRDefault="008C0A68" w:rsidP="00E41AB9">
            <w:pPr>
              <w:jc w:val="center"/>
              <w:rPr>
                <w:color w:val="000000"/>
                <w:sz w:val="20"/>
              </w:rPr>
            </w:pPr>
            <w:r>
              <w:rPr>
                <w:color w:val="000000"/>
                <w:sz w:val="20"/>
              </w:rPr>
              <w:t>A</w:t>
            </w:r>
          </w:p>
        </w:tc>
        <w:tc>
          <w:tcPr>
            <w:tcW w:w="749" w:type="pct"/>
            <w:tcBorders>
              <w:top w:val="single" w:sz="4" w:space="0" w:color="auto"/>
              <w:left w:val="single" w:sz="4" w:space="0" w:color="auto"/>
              <w:bottom w:val="single" w:sz="4" w:space="0" w:color="auto"/>
              <w:right w:val="single" w:sz="4" w:space="0" w:color="auto"/>
            </w:tcBorders>
            <w:vAlign w:val="center"/>
          </w:tcPr>
          <w:p w14:paraId="1A8ACA47" w14:textId="77777777" w:rsidR="008C0A68" w:rsidRDefault="008C0A68" w:rsidP="00E41AB9">
            <w:pPr>
              <w:pStyle w:val="Default"/>
              <w:spacing w:line="256" w:lineRule="auto"/>
              <w:jc w:val="center"/>
              <w:rPr>
                <w:sz w:val="20"/>
                <w:szCs w:val="20"/>
                <w:lang w:eastAsia="en-US"/>
              </w:rPr>
            </w:pPr>
          </w:p>
        </w:tc>
        <w:tc>
          <w:tcPr>
            <w:tcW w:w="842" w:type="pct"/>
            <w:tcBorders>
              <w:top w:val="single" w:sz="4" w:space="0" w:color="auto"/>
              <w:left w:val="single" w:sz="4" w:space="0" w:color="auto"/>
              <w:bottom w:val="single" w:sz="4" w:space="0" w:color="auto"/>
              <w:right w:val="single" w:sz="4" w:space="0" w:color="auto"/>
            </w:tcBorders>
            <w:vAlign w:val="center"/>
          </w:tcPr>
          <w:p w14:paraId="597EBB11"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6DDB5AA2"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1330E26E" w14:textId="77777777" w:rsidR="008C0A68" w:rsidRDefault="008C0A68" w:rsidP="00E41AB9">
            <w:pPr>
              <w:pStyle w:val="Default"/>
              <w:spacing w:line="256" w:lineRule="auto"/>
              <w:jc w:val="center"/>
              <w:rPr>
                <w:sz w:val="20"/>
                <w:szCs w:val="20"/>
              </w:rPr>
            </w:pPr>
          </w:p>
        </w:tc>
      </w:tr>
      <w:tr w:rsidR="008C0A68" w14:paraId="7ECD77E6"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B63C2"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717ED587" w14:textId="77777777" w:rsidR="008C0A68" w:rsidRDefault="008C0A68" w:rsidP="00E41AB9">
            <w:pPr>
              <w:jc w:val="center"/>
              <w:rPr>
                <w:color w:val="000000"/>
                <w:sz w:val="20"/>
              </w:rPr>
            </w:pPr>
            <w:r>
              <w:rPr>
                <w:color w:val="000000"/>
                <w:sz w:val="20"/>
              </w:rPr>
              <w:t>A-</w:t>
            </w:r>
          </w:p>
        </w:tc>
        <w:tc>
          <w:tcPr>
            <w:tcW w:w="459" w:type="pct"/>
            <w:tcBorders>
              <w:top w:val="single" w:sz="4" w:space="0" w:color="auto"/>
              <w:left w:val="single" w:sz="4" w:space="0" w:color="auto"/>
              <w:bottom w:val="single" w:sz="4" w:space="0" w:color="auto"/>
              <w:right w:val="single" w:sz="4" w:space="0" w:color="auto"/>
            </w:tcBorders>
            <w:vAlign w:val="center"/>
            <w:hideMark/>
          </w:tcPr>
          <w:p w14:paraId="29D283E5" w14:textId="77777777" w:rsidR="008C0A68" w:rsidRDefault="008C0A68" w:rsidP="00E41AB9">
            <w:pPr>
              <w:jc w:val="center"/>
              <w:rPr>
                <w:color w:val="000000"/>
                <w:sz w:val="20"/>
              </w:rPr>
            </w:pPr>
            <w:r>
              <w:rPr>
                <w:color w:val="000000"/>
                <w:sz w:val="20"/>
              </w:rPr>
              <w:t>A3</w:t>
            </w:r>
          </w:p>
        </w:tc>
        <w:tc>
          <w:tcPr>
            <w:tcW w:w="460" w:type="pct"/>
            <w:tcBorders>
              <w:top w:val="single" w:sz="4" w:space="0" w:color="auto"/>
              <w:left w:val="single" w:sz="4" w:space="0" w:color="auto"/>
              <w:bottom w:val="single" w:sz="4" w:space="0" w:color="auto"/>
              <w:right w:val="single" w:sz="4" w:space="0" w:color="auto"/>
            </w:tcBorders>
            <w:vAlign w:val="center"/>
            <w:hideMark/>
          </w:tcPr>
          <w:p w14:paraId="0C1AB8BE" w14:textId="77777777" w:rsidR="008C0A68" w:rsidRDefault="008C0A68" w:rsidP="00E41AB9">
            <w:pPr>
              <w:jc w:val="center"/>
              <w:rPr>
                <w:color w:val="000000"/>
                <w:sz w:val="20"/>
              </w:rPr>
            </w:pPr>
            <w:r>
              <w:rPr>
                <w:color w:val="000000"/>
                <w:sz w:val="20"/>
              </w:rPr>
              <w:t>A-</w:t>
            </w:r>
          </w:p>
        </w:tc>
        <w:tc>
          <w:tcPr>
            <w:tcW w:w="749" w:type="pct"/>
            <w:tcBorders>
              <w:top w:val="single" w:sz="4" w:space="0" w:color="auto"/>
              <w:left w:val="single" w:sz="4" w:space="0" w:color="auto"/>
              <w:bottom w:val="single" w:sz="4" w:space="0" w:color="auto"/>
              <w:right w:val="single" w:sz="4" w:space="0" w:color="auto"/>
            </w:tcBorders>
            <w:vAlign w:val="center"/>
          </w:tcPr>
          <w:p w14:paraId="782E0E9D" w14:textId="77777777" w:rsidR="008C0A68" w:rsidRDefault="008C0A68" w:rsidP="00E41AB9">
            <w:pPr>
              <w:pStyle w:val="Default"/>
              <w:spacing w:line="256" w:lineRule="auto"/>
              <w:jc w:val="center"/>
              <w:rPr>
                <w:sz w:val="20"/>
                <w:szCs w:val="20"/>
                <w:lang w:eastAsia="en-US"/>
              </w:rPr>
            </w:pPr>
          </w:p>
        </w:tc>
        <w:tc>
          <w:tcPr>
            <w:tcW w:w="842" w:type="pct"/>
            <w:tcBorders>
              <w:top w:val="single" w:sz="4" w:space="0" w:color="auto"/>
              <w:left w:val="single" w:sz="4" w:space="0" w:color="auto"/>
              <w:bottom w:val="single" w:sz="4" w:space="0" w:color="auto"/>
              <w:right w:val="single" w:sz="4" w:space="0" w:color="auto"/>
            </w:tcBorders>
            <w:vAlign w:val="center"/>
          </w:tcPr>
          <w:p w14:paraId="19F382B7"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2DEA6CB1"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15587D59" w14:textId="77777777" w:rsidR="008C0A68" w:rsidRDefault="008C0A68" w:rsidP="00E41AB9">
            <w:pPr>
              <w:pStyle w:val="Default"/>
              <w:spacing w:line="256" w:lineRule="auto"/>
              <w:jc w:val="center"/>
              <w:rPr>
                <w:sz w:val="20"/>
                <w:szCs w:val="20"/>
              </w:rPr>
            </w:pPr>
          </w:p>
        </w:tc>
      </w:tr>
      <w:tr w:rsidR="008C0A68" w14:paraId="40875FD1"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7DB814"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110BA51F" w14:textId="77777777" w:rsidR="008C0A68" w:rsidRDefault="008C0A68" w:rsidP="00E41AB9">
            <w:pPr>
              <w:pStyle w:val="Default"/>
              <w:spacing w:line="256" w:lineRule="auto"/>
              <w:jc w:val="center"/>
              <w:rPr>
                <w:sz w:val="20"/>
                <w:szCs w:val="20"/>
                <w:lang w:val="en-US"/>
              </w:rPr>
            </w:pPr>
            <w:r>
              <w:rPr>
                <w:sz w:val="20"/>
                <w:szCs w:val="20"/>
              </w:rPr>
              <w:t>BBB</w:t>
            </w:r>
            <w:r>
              <w:rPr>
                <w:sz w:val="20"/>
                <w:szCs w:val="20"/>
                <w:lang w:val="en-US"/>
              </w:rPr>
              <w:t>+</w:t>
            </w:r>
          </w:p>
        </w:tc>
        <w:tc>
          <w:tcPr>
            <w:tcW w:w="459" w:type="pct"/>
            <w:tcBorders>
              <w:top w:val="single" w:sz="4" w:space="0" w:color="auto"/>
              <w:left w:val="single" w:sz="4" w:space="0" w:color="auto"/>
              <w:bottom w:val="single" w:sz="4" w:space="0" w:color="auto"/>
              <w:right w:val="single" w:sz="4" w:space="0" w:color="auto"/>
            </w:tcBorders>
            <w:vAlign w:val="center"/>
            <w:hideMark/>
          </w:tcPr>
          <w:p w14:paraId="06CA3F2D" w14:textId="77777777" w:rsidR="008C0A68" w:rsidRDefault="008C0A68" w:rsidP="00E41AB9">
            <w:pPr>
              <w:pStyle w:val="Default"/>
              <w:spacing w:line="256" w:lineRule="auto"/>
              <w:jc w:val="center"/>
              <w:rPr>
                <w:sz w:val="20"/>
                <w:szCs w:val="20"/>
              </w:rPr>
            </w:pPr>
            <w:r>
              <w:rPr>
                <w:sz w:val="20"/>
                <w:szCs w:val="20"/>
              </w:rPr>
              <w:t>Baa</w:t>
            </w:r>
            <w:r>
              <w:rPr>
                <w:sz w:val="20"/>
                <w:szCs w:val="20"/>
                <w:lang w:val="en-US"/>
              </w:rPr>
              <w:t>1</w:t>
            </w:r>
          </w:p>
        </w:tc>
        <w:tc>
          <w:tcPr>
            <w:tcW w:w="460" w:type="pct"/>
            <w:tcBorders>
              <w:top w:val="single" w:sz="4" w:space="0" w:color="auto"/>
              <w:left w:val="single" w:sz="4" w:space="0" w:color="auto"/>
              <w:bottom w:val="single" w:sz="4" w:space="0" w:color="auto"/>
              <w:right w:val="single" w:sz="4" w:space="0" w:color="auto"/>
            </w:tcBorders>
            <w:vAlign w:val="center"/>
            <w:hideMark/>
          </w:tcPr>
          <w:p w14:paraId="17E65B92" w14:textId="77777777" w:rsidR="008C0A68" w:rsidRDefault="008C0A68" w:rsidP="00E41AB9">
            <w:pPr>
              <w:pStyle w:val="Default"/>
              <w:spacing w:line="256" w:lineRule="auto"/>
              <w:jc w:val="center"/>
              <w:rPr>
                <w:sz w:val="20"/>
                <w:szCs w:val="20"/>
                <w:lang w:val="en-US"/>
              </w:rPr>
            </w:pPr>
            <w:r>
              <w:rPr>
                <w:sz w:val="20"/>
                <w:szCs w:val="20"/>
              </w:rPr>
              <w:t>BBB</w:t>
            </w:r>
            <w:r>
              <w:rPr>
                <w:sz w:val="20"/>
                <w:szCs w:val="20"/>
                <w:lang w:val="en-US"/>
              </w:rPr>
              <w:t>+</w:t>
            </w:r>
          </w:p>
        </w:tc>
        <w:tc>
          <w:tcPr>
            <w:tcW w:w="749" w:type="pct"/>
            <w:tcBorders>
              <w:top w:val="single" w:sz="4" w:space="0" w:color="auto"/>
              <w:left w:val="single" w:sz="4" w:space="0" w:color="auto"/>
              <w:bottom w:val="single" w:sz="4" w:space="0" w:color="auto"/>
              <w:right w:val="single" w:sz="4" w:space="0" w:color="auto"/>
            </w:tcBorders>
            <w:vAlign w:val="center"/>
          </w:tcPr>
          <w:p w14:paraId="7B53A8AE" w14:textId="77777777" w:rsidR="008C0A68" w:rsidRDefault="008C0A68" w:rsidP="00E41AB9">
            <w:pPr>
              <w:pStyle w:val="Default"/>
              <w:spacing w:line="256" w:lineRule="auto"/>
              <w:jc w:val="center"/>
              <w:rPr>
                <w:sz w:val="20"/>
                <w:szCs w:val="20"/>
              </w:rPr>
            </w:pPr>
          </w:p>
        </w:tc>
        <w:tc>
          <w:tcPr>
            <w:tcW w:w="842" w:type="pct"/>
            <w:tcBorders>
              <w:top w:val="single" w:sz="4" w:space="0" w:color="auto"/>
              <w:left w:val="single" w:sz="4" w:space="0" w:color="auto"/>
              <w:bottom w:val="single" w:sz="4" w:space="0" w:color="auto"/>
              <w:right w:val="single" w:sz="4" w:space="0" w:color="auto"/>
            </w:tcBorders>
            <w:vAlign w:val="center"/>
          </w:tcPr>
          <w:p w14:paraId="537B27B3"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36AEEE0C"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6FEF0B0A" w14:textId="77777777" w:rsidR="008C0A68" w:rsidRDefault="008C0A68" w:rsidP="00E41AB9">
            <w:pPr>
              <w:pStyle w:val="Default"/>
              <w:spacing w:line="256" w:lineRule="auto"/>
              <w:jc w:val="center"/>
              <w:rPr>
                <w:sz w:val="20"/>
                <w:szCs w:val="20"/>
              </w:rPr>
            </w:pPr>
          </w:p>
        </w:tc>
      </w:tr>
      <w:tr w:rsidR="008C0A68" w14:paraId="6B12D280"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39F08"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02A8C20A" w14:textId="77777777" w:rsidR="008C0A68" w:rsidRDefault="008C0A68" w:rsidP="00E41AB9">
            <w:pPr>
              <w:pStyle w:val="Default"/>
              <w:spacing w:line="256" w:lineRule="auto"/>
              <w:jc w:val="center"/>
              <w:rPr>
                <w:sz w:val="20"/>
                <w:szCs w:val="20"/>
                <w:lang w:val="en-US"/>
              </w:rPr>
            </w:pPr>
            <w:r>
              <w:rPr>
                <w:sz w:val="20"/>
                <w:szCs w:val="20"/>
              </w:rPr>
              <w:t>BBB</w:t>
            </w:r>
          </w:p>
        </w:tc>
        <w:tc>
          <w:tcPr>
            <w:tcW w:w="459" w:type="pct"/>
            <w:tcBorders>
              <w:top w:val="single" w:sz="4" w:space="0" w:color="auto"/>
              <w:left w:val="single" w:sz="4" w:space="0" w:color="auto"/>
              <w:bottom w:val="single" w:sz="4" w:space="0" w:color="auto"/>
              <w:right w:val="single" w:sz="4" w:space="0" w:color="auto"/>
            </w:tcBorders>
            <w:vAlign w:val="center"/>
            <w:hideMark/>
          </w:tcPr>
          <w:p w14:paraId="1F289BBA" w14:textId="77777777" w:rsidR="008C0A68" w:rsidRDefault="008C0A68" w:rsidP="00E41AB9">
            <w:pPr>
              <w:pStyle w:val="Default"/>
              <w:spacing w:line="256" w:lineRule="auto"/>
              <w:jc w:val="center"/>
              <w:rPr>
                <w:sz w:val="20"/>
                <w:szCs w:val="20"/>
              </w:rPr>
            </w:pPr>
            <w:r>
              <w:rPr>
                <w:sz w:val="20"/>
                <w:szCs w:val="20"/>
              </w:rPr>
              <w:t>Baa</w:t>
            </w:r>
            <w:r>
              <w:rPr>
                <w:sz w:val="20"/>
                <w:szCs w:val="20"/>
                <w:lang w:val="en-US"/>
              </w:rPr>
              <w:t>2</w:t>
            </w:r>
          </w:p>
        </w:tc>
        <w:tc>
          <w:tcPr>
            <w:tcW w:w="460" w:type="pct"/>
            <w:tcBorders>
              <w:top w:val="single" w:sz="4" w:space="0" w:color="auto"/>
              <w:left w:val="single" w:sz="4" w:space="0" w:color="auto"/>
              <w:bottom w:val="single" w:sz="4" w:space="0" w:color="auto"/>
              <w:right w:val="single" w:sz="4" w:space="0" w:color="auto"/>
            </w:tcBorders>
            <w:vAlign w:val="center"/>
            <w:hideMark/>
          </w:tcPr>
          <w:p w14:paraId="73EAFAD9" w14:textId="77777777" w:rsidR="008C0A68" w:rsidRDefault="008C0A68" w:rsidP="00E41AB9">
            <w:pPr>
              <w:pStyle w:val="Default"/>
              <w:spacing w:line="256" w:lineRule="auto"/>
              <w:jc w:val="center"/>
              <w:rPr>
                <w:sz w:val="20"/>
                <w:szCs w:val="20"/>
                <w:lang w:val="en-US"/>
              </w:rPr>
            </w:pPr>
            <w:r>
              <w:rPr>
                <w:sz w:val="20"/>
                <w:szCs w:val="20"/>
              </w:rPr>
              <w:t>BBB</w:t>
            </w:r>
          </w:p>
        </w:tc>
        <w:tc>
          <w:tcPr>
            <w:tcW w:w="749" w:type="pct"/>
            <w:tcBorders>
              <w:top w:val="single" w:sz="4" w:space="0" w:color="auto"/>
              <w:left w:val="single" w:sz="4" w:space="0" w:color="auto"/>
              <w:bottom w:val="single" w:sz="4" w:space="0" w:color="auto"/>
              <w:right w:val="single" w:sz="4" w:space="0" w:color="auto"/>
            </w:tcBorders>
            <w:vAlign w:val="center"/>
          </w:tcPr>
          <w:p w14:paraId="18A6443B" w14:textId="77777777" w:rsidR="008C0A68" w:rsidRDefault="008C0A68" w:rsidP="00E41AB9">
            <w:pPr>
              <w:pStyle w:val="Default"/>
              <w:spacing w:line="256" w:lineRule="auto"/>
              <w:jc w:val="center"/>
              <w:rPr>
                <w:sz w:val="20"/>
                <w:szCs w:val="20"/>
              </w:rPr>
            </w:pPr>
          </w:p>
        </w:tc>
        <w:tc>
          <w:tcPr>
            <w:tcW w:w="842" w:type="pct"/>
            <w:tcBorders>
              <w:top w:val="single" w:sz="4" w:space="0" w:color="auto"/>
              <w:left w:val="single" w:sz="4" w:space="0" w:color="auto"/>
              <w:bottom w:val="single" w:sz="4" w:space="0" w:color="auto"/>
              <w:right w:val="single" w:sz="4" w:space="0" w:color="auto"/>
            </w:tcBorders>
            <w:vAlign w:val="center"/>
          </w:tcPr>
          <w:p w14:paraId="3D944667" w14:textId="77777777" w:rsidR="008C0A68" w:rsidRDefault="008C0A68" w:rsidP="00E41AB9">
            <w:pPr>
              <w:pStyle w:val="Default"/>
              <w:spacing w:line="256" w:lineRule="auto"/>
              <w:jc w:val="center"/>
              <w:rPr>
                <w:sz w:val="20"/>
                <w:szCs w:val="20"/>
              </w:rPr>
            </w:pPr>
          </w:p>
        </w:tc>
        <w:tc>
          <w:tcPr>
            <w:tcW w:w="656" w:type="pct"/>
            <w:tcBorders>
              <w:top w:val="single" w:sz="4" w:space="0" w:color="auto"/>
              <w:left w:val="single" w:sz="4" w:space="0" w:color="auto"/>
              <w:bottom w:val="single" w:sz="4" w:space="0" w:color="auto"/>
              <w:right w:val="single" w:sz="4" w:space="0" w:color="auto"/>
            </w:tcBorders>
          </w:tcPr>
          <w:p w14:paraId="7C5DB561" w14:textId="77777777" w:rsidR="008C0A68" w:rsidRDefault="008C0A68" w:rsidP="00E41AB9">
            <w:pPr>
              <w:pStyle w:val="Default"/>
              <w:spacing w:line="256" w:lineRule="auto"/>
              <w:jc w:val="center"/>
              <w:rPr>
                <w:sz w:val="20"/>
                <w:szCs w:val="20"/>
              </w:rPr>
            </w:pPr>
          </w:p>
        </w:tc>
        <w:tc>
          <w:tcPr>
            <w:tcW w:w="749" w:type="pct"/>
            <w:tcBorders>
              <w:top w:val="single" w:sz="4" w:space="0" w:color="auto"/>
              <w:left w:val="single" w:sz="4" w:space="0" w:color="auto"/>
              <w:bottom w:val="single" w:sz="4" w:space="0" w:color="auto"/>
              <w:right w:val="single" w:sz="4" w:space="0" w:color="auto"/>
            </w:tcBorders>
          </w:tcPr>
          <w:p w14:paraId="320453E2" w14:textId="77777777" w:rsidR="008C0A68" w:rsidRDefault="008C0A68" w:rsidP="00E41AB9">
            <w:pPr>
              <w:pStyle w:val="Default"/>
              <w:spacing w:line="256" w:lineRule="auto"/>
              <w:jc w:val="center"/>
              <w:rPr>
                <w:sz w:val="20"/>
                <w:szCs w:val="20"/>
              </w:rPr>
            </w:pPr>
          </w:p>
        </w:tc>
      </w:tr>
      <w:tr w:rsidR="008C0A68" w14:paraId="5C48B16F"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226AB1"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5F63DB3F" w14:textId="77777777" w:rsidR="008C0A68" w:rsidRDefault="008C0A68" w:rsidP="00E41AB9">
            <w:pPr>
              <w:pStyle w:val="Default"/>
              <w:spacing w:line="256" w:lineRule="auto"/>
              <w:jc w:val="center"/>
              <w:rPr>
                <w:sz w:val="20"/>
                <w:szCs w:val="20"/>
              </w:rPr>
            </w:pPr>
            <w:r>
              <w:rPr>
                <w:sz w:val="20"/>
                <w:szCs w:val="20"/>
              </w:rPr>
              <w:t>BBB-</w:t>
            </w:r>
          </w:p>
        </w:tc>
        <w:tc>
          <w:tcPr>
            <w:tcW w:w="459" w:type="pct"/>
            <w:tcBorders>
              <w:top w:val="single" w:sz="4" w:space="0" w:color="auto"/>
              <w:left w:val="single" w:sz="4" w:space="0" w:color="auto"/>
              <w:bottom w:val="single" w:sz="4" w:space="0" w:color="auto"/>
              <w:right w:val="single" w:sz="4" w:space="0" w:color="auto"/>
            </w:tcBorders>
            <w:vAlign w:val="center"/>
            <w:hideMark/>
          </w:tcPr>
          <w:p w14:paraId="14DEDCA7" w14:textId="77777777" w:rsidR="008C0A68" w:rsidRDefault="008C0A68" w:rsidP="00E41AB9">
            <w:pPr>
              <w:pStyle w:val="Default"/>
              <w:spacing w:line="256" w:lineRule="auto"/>
              <w:jc w:val="center"/>
              <w:rPr>
                <w:sz w:val="20"/>
                <w:szCs w:val="20"/>
                <w:lang w:val="en-US"/>
              </w:rPr>
            </w:pPr>
            <w:r>
              <w:rPr>
                <w:sz w:val="20"/>
                <w:szCs w:val="20"/>
              </w:rPr>
              <w:t>Baa</w:t>
            </w:r>
            <w:r>
              <w:rPr>
                <w:sz w:val="20"/>
                <w:szCs w:val="20"/>
                <w:lang w:val="en-US"/>
              </w:rPr>
              <w:t>3</w:t>
            </w:r>
          </w:p>
        </w:tc>
        <w:tc>
          <w:tcPr>
            <w:tcW w:w="460" w:type="pct"/>
            <w:tcBorders>
              <w:top w:val="single" w:sz="4" w:space="0" w:color="auto"/>
              <w:left w:val="single" w:sz="4" w:space="0" w:color="auto"/>
              <w:bottom w:val="single" w:sz="4" w:space="0" w:color="auto"/>
              <w:right w:val="single" w:sz="4" w:space="0" w:color="auto"/>
            </w:tcBorders>
            <w:vAlign w:val="center"/>
            <w:hideMark/>
          </w:tcPr>
          <w:p w14:paraId="44C3A133" w14:textId="77777777" w:rsidR="008C0A68" w:rsidRDefault="008C0A68" w:rsidP="00E41AB9">
            <w:pPr>
              <w:pStyle w:val="Default"/>
              <w:spacing w:line="256" w:lineRule="auto"/>
              <w:jc w:val="center"/>
              <w:rPr>
                <w:sz w:val="20"/>
                <w:szCs w:val="20"/>
              </w:rPr>
            </w:pPr>
            <w:r>
              <w:rPr>
                <w:sz w:val="20"/>
                <w:szCs w:val="20"/>
              </w:rPr>
              <w:t>BBB-</w:t>
            </w:r>
          </w:p>
        </w:tc>
        <w:tc>
          <w:tcPr>
            <w:tcW w:w="749" w:type="pct"/>
            <w:tcBorders>
              <w:top w:val="single" w:sz="4" w:space="0" w:color="auto"/>
              <w:left w:val="single" w:sz="4" w:space="0" w:color="auto"/>
              <w:bottom w:val="single" w:sz="4" w:space="0" w:color="auto"/>
              <w:right w:val="single" w:sz="4" w:space="0" w:color="auto"/>
            </w:tcBorders>
            <w:vAlign w:val="center"/>
            <w:hideMark/>
          </w:tcPr>
          <w:p w14:paraId="200BF3A7" w14:textId="77777777" w:rsidR="008C0A68" w:rsidRDefault="008C0A68" w:rsidP="00E41AB9">
            <w:pPr>
              <w:pStyle w:val="Default"/>
              <w:spacing w:line="256" w:lineRule="auto"/>
              <w:jc w:val="center"/>
              <w:rPr>
                <w:sz w:val="20"/>
                <w:szCs w:val="20"/>
              </w:rPr>
            </w:pPr>
            <w:r>
              <w:rPr>
                <w:sz w:val="20"/>
                <w:szCs w:val="20"/>
              </w:rPr>
              <w:t>ruAAA</w:t>
            </w:r>
          </w:p>
        </w:tc>
        <w:tc>
          <w:tcPr>
            <w:tcW w:w="842" w:type="pct"/>
            <w:tcBorders>
              <w:top w:val="single" w:sz="4" w:space="0" w:color="auto"/>
              <w:left w:val="single" w:sz="4" w:space="0" w:color="auto"/>
              <w:bottom w:val="single" w:sz="4" w:space="0" w:color="auto"/>
              <w:right w:val="single" w:sz="4" w:space="0" w:color="auto"/>
            </w:tcBorders>
            <w:vAlign w:val="center"/>
            <w:hideMark/>
          </w:tcPr>
          <w:p w14:paraId="058F0425" w14:textId="77777777" w:rsidR="008C0A68" w:rsidRDefault="008C0A68" w:rsidP="00E41AB9">
            <w:pPr>
              <w:pStyle w:val="Default"/>
              <w:spacing w:line="256" w:lineRule="auto"/>
              <w:jc w:val="center"/>
              <w:rPr>
                <w:sz w:val="20"/>
                <w:szCs w:val="20"/>
              </w:rPr>
            </w:pPr>
            <w:r>
              <w:rPr>
                <w:sz w:val="20"/>
                <w:szCs w:val="20"/>
              </w:rPr>
              <w:t>AAA (RU)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5A9EB4F0" w14:textId="77777777" w:rsidR="008C0A68" w:rsidRDefault="008C0A68" w:rsidP="00E41AB9">
            <w:pPr>
              <w:pStyle w:val="Default"/>
              <w:spacing w:line="256" w:lineRule="auto"/>
              <w:jc w:val="center"/>
              <w:rPr>
                <w:sz w:val="20"/>
                <w:szCs w:val="20"/>
              </w:rPr>
            </w:pPr>
            <w:r>
              <w:rPr>
                <w:rFonts w:eastAsia="Times New Roman"/>
                <w:sz w:val="20"/>
                <w:szCs w:val="20"/>
              </w:rPr>
              <w:t>AAA.ru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15904F8E" w14:textId="77777777" w:rsidR="008C0A68" w:rsidRDefault="008C0A68" w:rsidP="00E41AB9">
            <w:pPr>
              <w:pStyle w:val="Default"/>
              <w:spacing w:line="256" w:lineRule="auto"/>
              <w:jc w:val="center"/>
              <w:rPr>
                <w:sz w:val="20"/>
                <w:szCs w:val="20"/>
              </w:rPr>
            </w:pPr>
            <w:r>
              <w:rPr>
                <w:rFonts w:eastAsia="Times New Roman"/>
                <w:sz w:val="20"/>
                <w:szCs w:val="20"/>
              </w:rPr>
              <w:t>AAA|ru|</w:t>
            </w:r>
          </w:p>
        </w:tc>
      </w:tr>
      <w:tr w:rsidR="008C0A68" w14:paraId="3F714431"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BC7AA"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03B7A485" w14:textId="77777777" w:rsidR="008C0A68" w:rsidRDefault="008C0A68" w:rsidP="00E41AB9">
            <w:pPr>
              <w:pStyle w:val="Default"/>
              <w:spacing w:line="256" w:lineRule="auto"/>
              <w:jc w:val="center"/>
              <w:rPr>
                <w:sz w:val="20"/>
                <w:szCs w:val="20"/>
              </w:rPr>
            </w:pPr>
            <w:r>
              <w:rPr>
                <w:sz w:val="20"/>
                <w:szCs w:val="20"/>
              </w:rPr>
              <w:t>BB+</w:t>
            </w:r>
          </w:p>
        </w:tc>
        <w:tc>
          <w:tcPr>
            <w:tcW w:w="459" w:type="pct"/>
            <w:tcBorders>
              <w:top w:val="single" w:sz="4" w:space="0" w:color="auto"/>
              <w:left w:val="single" w:sz="4" w:space="0" w:color="auto"/>
              <w:bottom w:val="single" w:sz="4" w:space="0" w:color="auto"/>
              <w:right w:val="single" w:sz="4" w:space="0" w:color="auto"/>
            </w:tcBorders>
            <w:vAlign w:val="center"/>
            <w:hideMark/>
          </w:tcPr>
          <w:p w14:paraId="372F3B30" w14:textId="77777777" w:rsidR="008C0A68" w:rsidRDefault="008C0A68" w:rsidP="00E41AB9">
            <w:pPr>
              <w:pStyle w:val="Default"/>
              <w:spacing w:line="256" w:lineRule="auto"/>
              <w:jc w:val="center"/>
              <w:rPr>
                <w:sz w:val="20"/>
                <w:szCs w:val="20"/>
              </w:rPr>
            </w:pPr>
            <w:r>
              <w:rPr>
                <w:sz w:val="20"/>
                <w:szCs w:val="20"/>
              </w:rPr>
              <w:t>Ba1</w:t>
            </w:r>
          </w:p>
        </w:tc>
        <w:tc>
          <w:tcPr>
            <w:tcW w:w="460" w:type="pct"/>
            <w:tcBorders>
              <w:top w:val="single" w:sz="4" w:space="0" w:color="auto"/>
              <w:left w:val="single" w:sz="4" w:space="0" w:color="auto"/>
              <w:bottom w:val="single" w:sz="4" w:space="0" w:color="auto"/>
              <w:right w:val="single" w:sz="4" w:space="0" w:color="auto"/>
            </w:tcBorders>
            <w:vAlign w:val="center"/>
            <w:hideMark/>
          </w:tcPr>
          <w:p w14:paraId="29FE751C" w14:textId="77777777" w:rsidR="008C0A68" w:rsidRDefault="008C0A68" w:rsidP="00E41AB9">
            <w:pPr>
              <w:pStyle w:val="Default"/>
              <w:spacing w:line="256" w:lineRule="auto"/>
              <w:jc w:val="center"/>
              <w:rPr>
                <w:sz w:val="20"/>
                <w:szCs w:val="20"/>
              </w:rPr>
            </w:pPr>
            <w:r>
              <w:rPr>
                <w:sz w:val="20"/>
                <w:szCs w:val="20"/>
              </w:rPr>
              <w:t>BB+</w:t>
            </w:r>
          </w:p>
        </w:tc>
        <w:tc>
          <w:tcPr>
            <w:tcW w:w="749" w:type="pct"/>
            <w:tcBorders>
              <w:top w:val="single" w:sz="4" w:space="0" w:color="auto"/>
              <w:left w:val="single" w:sz="4" w:space="0" w:color="auto"/>
              <w:bottom w:val="single" w:sz="4" w:space="0" w:color="auto"/>
              <w:right w:val="single" w:sz="4" w:space="0" w:color="auto"/>
            </w:tcBorders>
            <w:vAlign w:val="center"/>
            <w:hideMark/>
          </w:tcPr>
          <w:p w14:paraId="21DF7064" w14:textId="77777777" w:rsidR="008C0A68" w:rsidRDefault="008C0A68" w:rsidP="00E41AB9">
            <w:pPr>
              <w:pStyle w:val="Default"/>
              <w:spacing w:line="256" w:lineRule="auto"/>
              <w:jc w:val="center"/>
              <w:rPr>
                <w:sz w:val="20"/>
                <w:szCs w:val="20"/>
              </w:rPr>
            </w:pPr>
            <w:r>
              <w:rPr>
                <w:sz w:val="20"/>
                <w:szCs w:val="20"/>
              </w:rPr>
              <w:t>ruAA+, ruAA</w:t>
            </w:r>
          </w:p>
        </w:tc>
        <w:tc>
          <w:tcPr>
            <w:tcW w:w="842" w:type="pct"/>
            <w:tcBorders>
              <w:top w:val="single" w:sz="4" w:space="0" w:color="auto"/>
              <w:left w:val="single" w:sz="4" w:space="0" w:color="auto"/>
              <w:bottom w:val="single" w:sz="4" w:space="0" w:color="auto"/>
              <w:right w:val="single" w:sz="4" w:space="0" w:color="auto"/>
            </w:tcBorders>
            <w:vAlign w:val="center"/>
            <w:hideMark/>
          </w:tcPr>
          <w:p w14:paraId="13E76F2B" w14:textId="77777777" w:rsidR="008C0A68" w:rsidRDefault="008C0A68" w:rsidP="00E41AB9">
            <w:pPr>
              <w:pStyle w:val="Default"/>
              <w:spacing w:line="256" w:lineRule="auto"/>
              <w:jc w:val="center"/>
              <w:rPr>
                <w:sz w:val="20"/>
                <w:szCs w:val="20"/>
                <w:lang w:val="en-US"/>
              </w:rPr>
            </w:pPr>
            <w:r>
              <w:rPr>
                <w:sz w:val="20"/>
                <w:szCs w:val="20"/>
                <w:lang w:val="en-US"/>
              </w:rPr>
              <w:t>AA+(RU), AA(RU)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30A078FF" w14:textId="77777777" w:rsidR="008C0A68" w:rsidRDefault="008C0A68" w:rsidP="00E41AB9">
            <w:pPr>
              <w:pStyle w:val="Default"/>
              <w:spacing w:line="256" w:lineRule="auto"/>
              <w:jc w:val="center"/>
              <w:rPr>
                <w:sz w:val="20"/>
                <w:szCs w:val="20"/>
                <w:lang w:val="en-US"/>
              </w:rPr>
            </w:pPr>
            <w:r>
              <w:rPr>
                <w:rFonts w:eastAsia="Times New Roman"/>
                <w:bCs/>
                <w:color w:val="auto"/>
                <w:sz w:val="20"/>
                <w:szCs w:val="20"/>
              </w:rPr>
              <w:t>AA+.ru, AA.ru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174EA734" w14:textId="77777777" w:rsidR="008C0A68" w:rsidRDefault="008C0A68" w:rsidP="00E41AB9">
            <w:pPr>
              <w:pStyle w:val="Default"/>
              <w:spacing w:line="256" w:lineRule="auto"/>
              <w:jc w:val="center"/>
              <w:rPr>
                <w:sz w:val="20"/>
                <w:szCs w:val="20"/>
                <w:lang w:val="en-US"/>
              </w:rPr>
            </w:pPr>
            <w:r>
              <w:rPr>
                <w:rFonts w:eastAsia="Times New Roman"/>
                <w:bCs/>
                <w:color w:val="auto"/>
                <w:sz w:val="20"/>
                <w:szCs w:val="20"/>
              </w:rPr>
              <w:t>AA+|ru|, AA|ru|</w:t>
            </w:r>
          </w:p>
        </w:tc>
      </w:tr>
      <w:tr w:rsidR="008C0A68" w14:paraId="34EE09ED"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51DE85"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1AD2828A" w14:textId="77777777" w:rsidR="008C0A68" w:rsidRDefault="008C0A68" w:rsidP="00E41AB9">
            <w:pPr>
              <w:pStyle w:val="Default"/>
              <w:spacing w:line="256" w:lineRule="auto"/>
              <w:jc w:val="center"/>
              <w:rPr>
                <w:sz w:val="20"/>
                <w:szCs w:val="20"/>
              </w:rPr>
            </w:pPr>
            <w:r>
              <w:rPr>
                <w:sz w:val="20"/>
                <w:szCs w:val="20"/>
              </w:rPr>
              <w:t>BB</w:t>
            </w:r>
          </w:p>
        </w:tc>
        <w:tc>
          <w:tcPr>
            <w:tcW w:w="459" w:type="pct"/>
            <w:tcBorders>
              <w:top w:val="single" w:sz="4" w:space="0" w:color="auto"/>
              <w:left w:val="single" w:sz="4" w:space="0" w:color="auto"/>
              <w:bottom w:val="single" w:sz="4" w:space="0" w:color="auto"/>
              <w:right w:val="single" w:sz="4" w:space="0" w:color="auto"/>
            </w:tcBorders>
            <w:vAlign w:val="center"/>
            <w:hideMark/>
          </w:tcPr>
          <w:p w14:paraId="18E6A31B" w14:textId="77777777" w:rsidR="008C0A68" w:rsidRDefault="008C0A68" w:rsidP="00E41AB9">
            <w:pPr>
              <w:pStyle w:val="Default"/>
              <w:spacing w:line="256" w:lineRule="auto"/>
              <w:jc w:val="center"/>
              <w:rPr>
                <w:sz w:val="20"/>
                <w:szCs w:val="20"/>
              </w:rPr>
            </w:pPr>
            <w:r>
              <w:rPr>
                <w:sz w:val="20"/>
                <w:szCs w:val="20"/>
              </w:rPr>
              <w:t>Ba2</w:t>
            </w:r>
          </w:p>
        </w:tc>
        <w:tc>
          <w:tcPr>
            <w:tcW w:w="460" w:type="pct"/>
            <w:tcBorders>
              <w:top w:val="single" w:sz="4" w:space="0" w:color="auto"/>
              <w:left w:val="single" w:sz="4" w:space="0" w:color="auto"/>
              <w:bottom w:val="single" w:sz="4" w:space="0" w:color="auto"/>
              <w:right w:val="single" w:sz="4" w:space="0" w:color="auto"/>
            </w:tcBorders>
            <w:vAlign w:val="center"/>
            <w:hideMark/>
          </w:tcPr>
          <w:p w14:paraId="630BF469" w14:textId="77777777" w:rsidR="008C0A68" w:rsidRDefault="008C0A68" w:rsidP="00E41AB9">
            <w:pPr>
              <w:pStyle w:val="Default"/>
              <w:spacing w:line="256" w:lineRule="auto"/>
              <w:jc w:val="center"/>
              <w:rPr>
                <w:sz w:val="20"/>
                <w:szCs w:val="20"/>
              </w:rPr>
            </w:pPr>
            <w:r>
              <w:rPr>
                <w:sz w:val="20"/>
                <w:szCs w:val="20"/>
              </w:rPr>
              <w:t>BB</w:t>
            </w:r>
          </w:p>
        </w:tc>
        <w:tc>
          <w:tcPr>
            <w:tcW w:w="749" w:type="pct"/>
            <w:tcBorders>
              <w:top w:val="single" w:sz="4" w:space="0" w:color="auto"/>
              <w:left w:val="single" w:sz="4" w:space="0" w:color="auto"/>
              <w:bottom w:val="single" w:sz="4" w:space="0" w:color="auto"/>
              <w:right w:val="single" w:sz="4" w:space="0" w:color="auto"/>
            </w:tcBorders>
            <w:vAlign w:val="center"/>
            <w:hideMark/>
          </w:tcPr>
          <w:p w14:paraId="5CAC436C" w14:textId="77777777" w:rsidR="008C0A68" w:rsidRDefault="008C0A68" w:rsidP="00E41AB9">
            <w:pPr>
              <w:pStyle w:val="Default"/>
              <w:spacing w:line="256" w:lineRule="auto"/>
              <w:jc w:val="center"/>
              <w:rPr>
                <w:sz w:val="20"/>
                <w:szCs w:val="20"/>
              </w:rPr>
            </w:pPr>
            <w:r>
              <w:rPr>
                <w:sz w:val="20"/>
                <w:szCs w:val="20"/>
              </w:rPr>
              <w:t>ruAA-, ruA+</w:t>
            </w:r>
          </w:p>
        </w:tc>
        <w:tc>
          <w:tcPr>
            <w:tcW w:w="842" w:type="pct"/>
            <w:tcBorders>
              <w:top w:val="single" w:sz="4" w:space="0" w:color="auto"/>
              <w:left w:val="single" w:sz="4" w:space="0" w:color="auto"/>
              <w:bottom w:val="single" w:sz="4" w:space="0" w:color="auto"/>
              <w:right w:val="single" w:sz="4" w:space="0" w:color="auto"/>
            </w:tcBorders>
            <w:vAlign w:val="center"/>
            <w:hideMark/>
          </w:tcPr>
          <w:p w14:paraId="57A379EC" w14:textId="77777777" w:rsidR="008C0A68" w:rsidRDefault="008C0A68" w:rsidP="00E41AB9">
            <w:pPr>
              <w:pStyle w:val="Default"/>
              <w:spacing w:line="256" w:lineRule="auto"/>
              <w:jc w:val="center"/>
              <w:rPr>
                <w:sz w:val="20"/>
                <w:szCs w:val="20"/>
                <w:lang w:val="en-US"/>
              </w:rPr>
            </w:pPr>
            <w:r>
              <w:rPr>
                <w:sz w:val="20"/>
                <w:szCs w:val="20"/>
                <w:lang w:val="en-US"/>
              </w:rPr>
              <w:t>AA-(RU), A+(RU)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35893DF5" w14:textId="77777777" w:rsidR="008C0A68" w:rsidRDefault="008C0A68" w:rsidP="00E41AB9">
            <w:pPr>
              <w:pStyle w:val="Default"/>
              <w:spacing w:line="256" w:lineRule="auto"/>
              <w:jc w:val="center"/>
              <w:rPr>
                <w:sz w:val="20"/>
                <w:szCs w:val="20"/>
                <w:lang w:val="en-US"/>
              </w:rPr>
            </w:pPr>
            <w:r>
              <w:rPr>
                <w:rFonts w:eastAsia="Times New Roman"/>
                <w:bCs/>
                <w:color w:val="auto"/>
                <w:sz w:val="20"/>
                <w:szCs w:val="20"/>
              </w:rPr>
              <w:t>AA-.ru, A+.ru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6D1AB711" w14:textId="77777777" w:rsidR="008C0A68" w:rsidRDefault="008C0A68" w:rsidP="00E41AB9">
            <w:pPr>
              <w:pStyle w:val="Default"/>
              <w:spacing w:line="256" w:lineRule="auto"/>
              <w:jc w:val="center"/>
              <w:rPr>
                <w:sz w:val="20"/>
                <w:szCs w:val="20"/>
                <w:lang w:val="en-US"/>
              </w:rPr>
            </w:pPr>
            <w:r>
              <w:rPr>
                <w:rFonts w:eastAsia="Times New Roman"/>
                <w:bCs/>
                <w:color w:val="auto"/>
                <w:sz w:val="20"/>
                <w:szCs w:val="20"/>
              </w:rPr>
              <w:t>AA-|ru|, A+|ru|</w:t>
            </w:r>
          </w:p>
        </w:tc>
      </w:tr>
      <w:tr w:rsidR="008C0A68" w:rsidRPr="00EC1EE7" w14:paraId="293574E0"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FA197"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2BE6E530" w14:textId="77777777" w:rsidR="008C0A68" w:rsidRDefault="008C0A68" w:rsidP="00E41AB9">
            <w:pPr>
              <w:pStyle w:val="Default"/>
              <w:spacing w:line="256" w:lineRule="auto"/>
              <w:jc w:val="center"/>
              <w:rPr>
                <w:sz w:val="20"/>
                <w:szCs w:val="20"/>
              </w:rPr>
            </w:pPr>
            <w:r>
              <w:rPr>
                <w:sz w:val="20"/>
                <w:szCs w:val="20"/>
              </w:rPr>
              <w:t>BB-</w:t>
            </w:r>
          </w:p>
        </w:tc>
        <w:tc>
          <w:tcPr>
            <w:tcW w:w="459" w:type="pct"/>
            <w:tcBorders>
              <w:top w:val="single" w:sz="4" w:space="0" w:color="auto"/>
              <w:left w:val="single" w:sz="4" w:space="0" w:color="auto"/>
              <w:bottom w:val="single" w:sz="4" w:space="0" w:color="auto"/>
              <w:right w:val="single" w:sz="4" w:space="0" w:color="auto"/>
            </w:tcBorders>
            <w:vAlign w:val="center"/>
            <w:hideMark/>
          </w:tcPr>
          <w:p w14:paraId="53F33947" w14:textId="77777777" w:rsidR="008C0A68" w:rsidRDefault="008C0A68" w:rsidP="00E41AB9">
            <w:pPr>
              <w:pStyle w:val="Default"/>
              <w:spacing w:line="256" w:lineRule="auto"/>
              <w:jc w:val="center"/>
              <w:rPr>
                <w:sz w:val="20"/>
                <w:szCs w:val="20"/>
              </w:rPr>
            </w:pPr>
            <w:r>
              <w:rPr>
                <w:sz w:val="20"/>
                <w:szCs w:val="20"/>
              </w:rPr>
              <w:t>Ba3</w:t>
            </w:r>
          </w:p>
        </w:tc>
        <w:tc>
          <w:tcPr>
            <w:tcW w:w="460" w:type="pct"/>
            <w:tcBorders>
              <w:top w:val="single" w:sz="4" w:space="0" w:color="auto"/>
              <w:left w:val="single" w:sz="4" w:space="0" w:color="auto"/>
              <w:bottom w:val="single" w:sz="4" w:space="0" w:color="auto"/>
              <w:right w:val="single" w:sz="4" w:space="0" w:color="auto"/>
            </w:tcBorders>
            <w:vAlign w:val="center"/>
            <w:hideMark/>
          </w:tcPr>
          <w:p w14:paraId="34E946A4" w14:textId="77777777" w:rsidR="008C0A68" w:rsidRDefault="008C0A68" w:rsidP="00E41AB9">
            <w:pPr>
              <w:pStyle w:val="Default"/>
              <w:spacing w:line="256" w:lineRule="auto"/>
              <w:jc w:val="center"/>
              <w:rPr>
                <w:sz w:val="20"/>
                <w:szCs w:val="20"/>
              </w:rPr>
            </w:pPr>
            <w:r>
              <w:rPr>
                <w:sz w:val="20"/>
                <w:szCs w:val="20"/>
              </w:rPr>
              <w:t>BB-</w:t>
            </w:r>
          </w:p>
        </w:tc>
        <w:tc>
          <w:tcPr>
            <w:tcW w:w="749" w:type="pct"/>
            <w:tcBorders>
              <w:top w:val="single" w:sz="4" w:space="0" w:color="auto"/>
              <w:left w:val="single" w:sz="4" w:space="0" w:color="auto"/>
              <w:bottom w:val="single" w:sz="4" w:space="0" w:color="auto"/>
              <w:right w:val="single" w:sz="4" w:space="0" w:color="auto"/>
            </w:tcBorders>
            <w:vAlign w:val="center"/>
            <w:hideMark/>
          </w:tcPr>
          <w:p w14:paraId="7447BFFE" w14:textId="77777777" w:rsidR="008C0A68" w:rsidRDefault="008C0A68" w:rsidP="00E41AB9">
            <w:pPr>
              <w:pStyle w:val="Default"/>
              <w:spacing w:line="256" w:lineRule="auto"/>
              <w:jc w:val="center"/>
              <w:rPr>
                <w:sz w:val="20"/>
                <w:szCs w:val="20"/>
              </w:rPr>
            </w:pPr>
            <w:r>
              <w:rPr>
                <w:sz w:val="20"/>
                <w:szCs w:val="20"/>
              </w:rPr>
              <w:t>ruA, ruA-, ruBBB+</w:t>
            </w:r>
          </w:p>
        </w:tc>
        <w:tc>
          <w:tcPr>
            <w:tcW w:w="842" w:type="pct"/>
            <w:tcBorders>
              <w:top w:val="single" w:sz="4" w:space="0" w:color="auto"/>
              <w:left w:val="single" w:sz="4" w:space="0" w:color="auto"/>
              <w:bottom w:val="single" w:sz="4" w:space="0" w:color="auto"/>
              <w:right w:val="single" w:sz="4" w:space="0" w:color="auto"/>
            </w:tcBorders>
            <w:vAlign w:val="center"/>
            <w:hideMark/>
          </w:tcPr>
          <w:p w14:paraId="7F9D58DF" w14:textId="77777777" w:rsidR="008C0A68" w:rsidRDefault="008C0A68" w:rsidP="00E41AB9">
            <w:pPr>
              <w:pStyle w:val="Default"/>
              <w:spacing w:line="256" w:lineRule="auto"/>
              <w:jc w:val="center"/>
              <w:rPr>
                <w:sz w:val="20"/>
                <w:szCs w:val="20"/>
                <w:lang w:val="en-US"/>
              </w:rPr>
            </w:pPr>
            <w:r>
              <w:rPr>
                <w:sz w:val="20"/>
                <w:szCs w:val="20"/>
              </w:rPr>
              <w:t>А</w:t>
            </w:r>
            <w:r>
              <w:rPr>
                <w:sz w:val="20"/>
                <w:szCs w:val="20"/>
                <w:lang w:val="en-US"/>
              </w:rPr>
              <w:t>(RU), A-(RU), BBB+(RU)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52676EE7" w14:textId="77777777" w:rsidR="008C0A68" w:rsidRDefault="008C0A68" w:rsidP="00E41AB9">
            <w:pPr>
              <w:pStyle w:val="Default"/>
              <w:spacing w:line="256" w:lineRule="auto"/>
              <w:jc w:val="center"/>
              <w:rPr>
                <w:sz w:val="20"/>
                <w:szCs w:val="20"/>
                <w:lang w:val="en-US"/>
              </w:rPr>
            </w:pPr>
            <w:r>
              <w:rPr>
                <w:rFonts w:eastAsia="Times New Roman"/>
                <w:bCs/>
                <w:color w:val="auto"/>
                <w:sz w:val="20"/>
                <w:szCs w:val="20"/>
                <w:lang w:val="en-US"/>
              </w:rPr>
              <w:t>A.ru, A-.ru, BBB+.ru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6516728D" w14:textId="77777777" w:rsidR="008C0A68" w:rsidRDefault="008C0A68" w:rsidP="00E41AB9">
            <w:pPr>
              <w:pStyle w:val="Default"/>
              <w:spacing w:line="256" w:lineRule="auto"/>
              <w:jc w:val="center"/>
              <w:rPr>
                <w:sz w:val="20"/>
                <w:szCs w:val="20"/>
                <w:lang w:val="en-US"/>
              </w:rPr>
            </w:pPr>
            <w:r>
              <w:rPr>
                <w:rFonts w:eastAsia="Times New Roman"/>
                <w:bCs/>
                <w:color w:val="auto"/>
                <w:sz w:val="20"/>
                <w:szCs w:val="20"/>
                <w:lang w:val="en-US"/>
              </w:rPr>
              <w:t>A|ru|, A-|ru|, BBB+|ru|</w:t>
            </w:r>
          </w:p>
        </w:tc>
      </w:tr>
      <w:tr w:rsidR="008C0A68" w14:paraId="15ADF215" w14:textId="77777777" w:rsidTr="00E41AB9">
        <w:trPr>
          <w:trHeight w:val="247"/>
        </w:trPr>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02D16D33"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II</w:t>
            </w:r>
          </w:p>
        </w:tc>
        <w:tc>
          <w:tcPr>
            <w:tcW w:w="459" w:type="pct"/>
            <w:tcBorders>
              <w:top w:val="single" w:sz="4" w:space="0" w:color="auto"/>
              <w:left w:val="single" w:sz="4" w:space="0" w:color="auto"/>
              <w:bottom w:val="single" w:sz="4" w:space="0" w:color="auto"/>
              <w:right w:val="single" w:sz="4" w:space="0" w:color="auto"/>
            </w:tcBorders>
            <w:vAlign w:val="center"/>
            <w:hideMark/>
          </w:tcPr>
          <w:p w14:paraId="3756FD5E" w14:textId="77777777" w:rsidR="008C0A68" w:rsidRDefault="008C0A68" w:rsidP="00E41AB9">
            <w:pPr>
              <w:pStyle w:val="Default"/>
              <w:spacing w:line="256" w:lineRule="auto"/>
              <w:jc w:val="center"/>
              <w:rPr>
                <w:sz w:val="20"/>
                <w:szCs w:val="20"/>
              </w:rPr>
            </w:pPr>
            <w:r>
              <w:rPr>
                <w:sz w:val="20"/>
                <w:szCs w:val="20"/>
              </w:rPr>
              <w:t>B+</w:t>
            </w:r>
          </w:p>
        </w:tc>
        <w:tc>
          <w:tcPr>
            <w:tcW w:w="459" w:type="pct"/>
            <w:tcBorders>
              <w:top w:val="single" w:sz="4" w:space="0" w:color="auto"/>
              <w:left w:val="single" w:sz="4" w:space="0" w:color="auto"/>
              <w:bottom w:val="single" w:sz="4" w:space="0" w:color="auto"/>
              <w:right w:val="single" w:sz="4" w:space="0" w:color="auto"/>
            </w:tcBorders>
            <w:vAlign w:val="center"/>
            <w:hideMark/>
          </w:tcPr>
          <w:p w14:paraId="1F42CFB3" w14:textId="77777777" w:rsidR="008C0A68" w:rsidRDefault="008C0A68" w:rsidP="00E41AB9">
            <w:pPr>
              <w:pStyle w:val="Default"/>
              <w:spacing w:line="256" w:lineRule="auto"/>
              <w:jc w:val="center"/>
              <w:rPr>
                <w:sz w:val="20"/>
                <w:szCs w:val="20"/>
              </w:rPr>
            </w:pPr>
            <w:r>
              <w:rPr>
                <w:sz w:val="20"/>
                <w:szCs w:val="20"/>
              </w:rPr>
              <w:t>B1</w:t>
            </w:r>
          </w:p>
        </w:tc>
        <w:tc>
          <w:tcPr>
            <w:tcW w:w="460" w:type="pct"/>
            <w:tcBorders>
              <w:top w:val="single" w:sz="4" w:space="0" w:color="auto"/>
              <w:left w:val="single" w:sz="4" w:space="0" w:color="auto"/>
              <w:bottom w:val="single" w:sz="4" w:space="0" w:color="auto"/>
              <w:right w:val="single" w:sz="4" w:space="0" w:color="auto"/>
            </w:tcBorders>
            <w:vAlign w:val="center"/>
            <w:hideMark/>
          </w:tcPr>
          <w:p w14:paraId="6126DA9F" w14:textId="77777777" w:rsidR="008C0A68" w:rsidRDefault="008C0A68" w:rsidP="00E41AB9">
            <w:pPr>
              <w:pStyle w:val="Default"/>
              <w:spacing w:line="256" w:lineRule="auto"/>
              <w:jc w:val="center"/>
              <w:rPr>
                <w:sz w:val="20"/>
                <w:szCs w:val="20"/>
              </w:rPr>
            </w:pPr>
            <w:r>
              <w:rPr>
                <w:sz w:val="20"/>
                <w:szCs w:val="20"/>
              </w:rPr>
              <w:t>B+</w:t>
            </w:r>
          </w:p>
        </w:tc>
        <w:tc>
          <w:tcPr>
            <w:tcW w:w="749" w:type="pct"/>
            <w:tcBorders>
              <w:top w:val="single" w:sz="4" w:space="0" w:color="auto"/>
              <w:left w:val="single" w:sz="4" w:space="0" w:color="auto"/>
              <w:bottom w:val="single" w:sz="4" w:space="0" w:color="auto"/>
              <w:right w:val="single" w:sz="4" w:space="0" w:color="auto"/>
            </w:tcBorders>
            <w:vAlign w:val="center"/>
            <w:hideMark/>
          </w:tcPr>
          <w:p w14:paraId="2A9DE260" w14:textId="77777777" w:rsidR="008C0A68" w:rsidRDefault="008C0A68" w:rsidP="00E41AB9">
            <w:pPr>
              <w:pStyle w:val="Default"/>
              <w:spacing w:line="256" w:lineRule="auto"/>
              <w:jc w:val="center"/>
              <w:rPr>
                <w:sz w:val="20"/>
                <w:szCs w:val="20"/>
              </w:rPr>
            </w:pPr>
            <w:r>
              <w:rPr>
                <w:sz w:val="20"/>
                <w:szCs w:val="20"/>
              </w:rPr>
              <w:t>ruBBB</w:t>
            </w:r>
          </w:p>
        </w:tc>
        <w:tc>
          <w:tcPr>
            <w:tcW w:w="842" w:type="pct"/>
            <w:tcBorders>
              <w:top w:val="single" w:sz="4" w:space="0" w:color="auto"/>
              <w:left w:val="single" w:sz="4" w:space="0" w:color="auto"/>
              <w:bottom w:val="single" w:sz="4" w:space="0" w:color="auto"/>
              <w:right w:val="single" w:sz="4" w:space="0" w:color="auto"/>
            </w:tcBorders>
            <w:vAlign w:val="center"/>
            <w:hideMark/>
          </w:tcPr>
          <w:p w14:paraId="060243D6" w14:textId="77777777" w:rsidR="008C0A68" w:rsidRDefault="008C0A68" w:rsidP="00E41AB9">
            <w:pPr>
              <w:pStyle w:val="Default"/>
              <w:spacing w:line="256" w:lineRule="auto"/>
              <w:jc w:val="center"/>
              <w:rPr>
                <w:sz w:val="20"/>
                <w:szCs w:val="20"/>
              </w:rPr>
            </w:pPr>
            <w:r>
              <w:rPr>
                <w:sz w:val="20"/>
                <w:szCs w:val="20"/>
              </w:rPr>
              <w:t>BBB (RU)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1FF11CBF" w14:textId="77777777" w:rsidR="008C0A68" w:rsidRDefault="008C0A68" w:rsidP="00E41AB9">
            <w:pPr>
              <w:pStyle w:val="Default"/>
              <w:spacing w:line="256" w:lineRule="auto"/>
              <w:jc w:val="center"/>
              <w:rPr>
                <w:sz w:val="20"/>
                <w:szCs w:val="20"/>
              </w:rPr>
            </w:pPr>
            <w:r>
              <w:rPr>
                <w:rFonts w:eastAsia="Times New Roman"/>
                <w:bCs/>
                <w:color w:val="auto"/>
                <w:sz w:val="20"/>
                <w:szCs w:val="20"/>
              </w:rPr>
              <w:t>BBB.ru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7FE8811B" w14:textId="77777777" w:rsidR="008C0A68" w:rsidRDefault="008C0A68" w:rsidP="00E41AB9">
            <w:pPr>
              <w:pStyle w:val="Default"/>
              <w:spacing w:line="256" w:lineRule="auto"/>
              <w:jc w:val="center"/>
              <w:rPr>
                <w:sz w:val="20"/>
                <w:szCs w:val="20"/>
              </w:rPr>
            </w:pPr>
            <w:r>
              <w:rPr>
                <w:rFonts w:eastAsia="Times New Roman"/>
                <w:bCs/>
                <w:color w:val="auto"/>
                <w:sz w:val="20"/>
                <w:szCs w:val="20"/>
              </w:rPr>
              <w:t>BBB|ru|</w:t>
            </w:r>
          </w:p>
        </w:tc>
      </w:tr>
      <w:tr w:rsidR="008C0A68" w14:paraId="6D1A00F6"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CBA1D"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47ECC400" w14:textId="77777777" w:rsidR="008C0A68" w:rsidRDefault="008C0A68" w:rsidP="00E41AB9">
            <w:pPr>
              <w:pStyle w:val="Default"/>
              <w:spacing w:line="256" w:lineRule="auto"/>
              <w:jc w:val="center"/>
              <w:rPr>
                <w:sz w:val="20"/>
                <w:szCs w:val="20"/>
              </w:rPr>
            </w:pPr>
            <w:r>
              <w:rPr>
                <w:sz w:val="20"/>
                <w:szCs w:val="20"/>
              </w:rPr>
              <w:t>B</w:t>
            </w:r>
          </w:p>
        </w:tc>
        <w:tc>
          <w:tcPr>
            <w:tcW w:w="459" w:type="pct"/>
            <w:tcBorders>
              <w:top w:val="single" w:sz="4" w:space="0" w:color="auto"/>
              <w:left w:val="single" w:sz="4" w:space="0" w:color="auto"/>
              <w:bottom w:val="single" w:sz="4" w:space="0" w:color="auto"/>
              <w:right w:val="single" w:sz="4" w:space="0" w:color="auto"/>
            </w:tcBorders>
            <w:vAlign w:val="center"/>
            <w:hideMark/>
          </w:tcPr>
          <w:p w14:paraId="61280931" w14:textId="77777777" w:rsidR="008C0A68" w:rsidRDefault="008C0A68" w:rsidP="00E41AB9">
            <w:pPr>
              <w:pStyle w:val="Default"/>
              <w:spacing w:line="256" w:lineRule="auto"/>
              <w:jc w:val="center"/>
              <w:rPr>
                <w:sz w:val="20"/>
                <w:szCs w:val="20"/>
              </w:rPr>
            </w:pPr>
            <w:r>
              <w:rPr>
                <w:sz w:val="20"/>
                <w:szCs w:val="20"/>
              </w:rPr>
              <w:t>B2</w:t>
            </w:r>
          </w:p>
        </w:tc>
        <w:tc>
          <w:tcPr>
            <w:tcW w:w="460" w:type="pct"/>
            <w:tcBorders>
              <w:top w:val="single" w:sz="4" w:space="0" w:color="auto"/>
              <w:left w:val="single" w:sz="4" w:space="0" w:color="auto"/>
              <w:bottom w:val="single" w:sz="4" w:space="0" w:color="auto"/>
              <w:right w:val="single" w:sz="4" w:space="0" w:color="auto"/>
            </w:tcBorders>
            <w:vAlign w:val="center"/>
            <w:hideMark/>
          </w:tcPr>
          <w:p w14:paraId="57F58ACB" w14:textId="77777777" w:rsidR="008C0A68" w:rsidRDefault="008C0A68" w:rsidP="00E41AB9">
            <w:pPr>
              <w:pStyle w:val="Default"/>
              <w:spacing w:line="256" w:lineRule="auto"/>
              <w:jc w:val="center"/>
              <w:rPr>
                <w:sz w:val="20"/>
                <w:szCs w:val="20"/>
              </w:rPr>
            </w:pPr>
            <w:r>
              <w:rPr>
                <w:sz w:val="20"/>
                <w:szCs w:val="20"/>
              </w:rPr>
              <w:t>B</w:t>
            </w:r>
          </w:p>
        </w:tc>
        <w:tc>
          <w:tcPr>
            <w:tcW w:w="749" w:type="pct"/>
            <w:tcBorders>
              <w:top w:val="single" w:sz="4" w:space="0" w:color="auto"/>
              <w:left w:val="single" w:sz="4" w:space="0" w:color="auto"/>
              <w:bottom w:val="single" w:sz="4" w:space="0" w:color="auto"/>
              <w:right w:val="single" w:sz="4" w:space="0" w:color="auto"/>
            </w:tcBorders>
            <w:vAlign w:val="center"/>
            <w:hideMark/>
          </w:tcPr>
          <w:p w14:paraId="01DA8077" w14:textId="77777777" w:rsidR="008C0A68" w:rsidRDefault="008C0A68" w:rsidP="00E41AB9">
            <w:pPr>
              <w:pStyle w:val="Default"/>
              <w:spacing w:line="256" w:lineRule="auto"/>
              <w:jc w:val="center"/>
              <w:rPr>
                <w:sz w:val="20"/>
                <w:szCs w:val="20"/>
              </w:rPr>
            </w:pPr>
            <w:r>
              <w:rPr>
                <w:sz w:val="20"/>
                <w:szCs w:val="20"/>
              </w:rPr>
              <w:t>ruBBB-, ruBB+</w:t>
            </w:r>
          </w:p>
        </w:tc>
        <w:tc>
          <w:tcPr>
            <w:tcW w:w="842" w:type="pct"/>
            <w:tcBorders>
              <w:top w:val="single" w:sz="4" w:space="0" w:color="auto"/>
              <w:left w:val="single" w:sz="4" w:space="0" w:color="auto"/>
              <w:bottom w:val="single" w:sz="4" w:space="0" w:color="auto"/>
              <w:right w:val="single" w:sz="4" w:space="0" w:color="auto"/>
            </w:tcBorders>
            <w:vAlign w:val="center"/>
            <w:hideMark/>
          </w:tcPr>
          <w:p w14:paraId="367F0C3B" w14:textId="77777777" w:rsidR="008C0A68" w:rsidRDefault="008C0A68" w:rsidP="00E41AB9">
            <w:pPr>
              <w:pStyle w:val="Default"/>
              <w:spacing w:line="256" w:lineRule="auto"/>
              <w:jc w:val="center"/>
              <w:rPr>
                <w:sz w:val="20"/>
                <w:szCs w:val="20"/>
              </w:rPr>
            </w:pPr>
            <w:r>
              <w:rPr>
                <w:sz w:val="20"/>
                <w:szCs w:val="20"/>
              </w:rPr>
              <w:t>BBB- (RU), BB+(RU)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4304F35A" w14:textId="77777777" w:rsidR="008C0A68" w:rsidRDefault="008C0A68" w:rsidP="00E41AB9">
            <w:pPr>
              <w:pStyle w:val="Default"/>
              <w:spacing w:line="256" w:lineRule="auto"/>
              <w:jc w:val="center"/>
              <w:rPr>
                <w:sz w:val="20"/>
                <w:szCs w:val="20"/>
              </w:rPr>
            </w:pPr>
            <w:r>
              <w:rPr>
                <w:rFonts w:eastAsia="Times New Roman"/>
                <w:bCs/>
                <w:color w:val="auto"/>
                <w:sz w:val="20"/>
                <w:szCs w:val="20"/>
              </w:rPr>
              <w:t>BBB-.ru, BB+.ru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2FF88BDA" w14:textId="77777777" w:rsidR="008C0A68" w:rsidRDefault="008C0A68" w:rsidP="00E41AB9">
            <w:pPr>
              <w:pStyle w:val="Default"/>
              <w:spacing w:line="256" w:lineRule="auto"/>
              <w:jc w:val="center"/>
              <w:rPr>
                <w:sz w:val="20"/>
                <w:szCs w:val="20"/>
              </w:rPr>
            </w:pPr>
            <w:r>
              <w:rPr>
                <w:rFonts w:eastAsia="Times New Roman"/>
                <w:bCs/>
                <w:color w:val="auto"/>
                <w:sz w:val="20"/>
                <w:szCs w:val="20"/>
              </w:rPr>
              <w:t>BBB-|ru|, BB+|ru|</w:t>
            </w:r>
          </w:p>
        </w:tc>
      </w:tr>
      <w:tr w:rsidR="008C0A68" w14:paraId="1BBAC0C1" w14:textId="77777777" w:rsidTr="00E41AB9">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3C43F"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vAlign w:val="center"/>
            <w:hideMark/>
          </w:tcPr>
          <w:p w14:paraId="3AAC6780" w14:textId="77777777" w:rsidR="008C0A68" w:rsidRDefault="008C0A68" w:rsidP="00E41AB9">
            <w:pPr>
              <w:pStyle w:val="Default"/>
              <w:spacing w:line="256" w:lineRule="auto"/>
              <w:jc w:val="center"/>
              <w:rPr>
                <w:sz w:val="20"/>
                <w:szCs w:val="20"/>
              </w:rPr>
            </w:pPr>
            <w:r>
              <w:rPr>
                <w:sz w:val="20"/>
                <w:szCs w:val="20"/>
              </w:rPr>
              <w:t>B-</w:t>
            </w:r>
          </w:p>
        </w:tc>
        <w:tc>
          <w:tcPr>
            <w:tcW w:w="459" w:type="pct"/>
            <w:tcBorders>
              <w:top w:val="single" w:sz="4" w:space="0" w:color="auto"/>
              <w:left w:val="single" w:sz="4" w:space="0" w:color="auto"/>
              <w:bottom w:val="single" w:sz="4" w:space="0" w:color="auto"/>
              <w:right w:val="single" w:sz="4" w:space="0" w:color="auto"/>
            </w:tcBorders>
            <w:vAlign w:val="center"/>
            <w:hideMark/>
          </w:tcPr>
          <w:p w14:paraId="030B5F56" w14:textId="77777777" w:rsidR="008C0A68" w:rsidRDefault="008C0A68" w:rsidP="00E41AB9">
            <w:pPr>
              <w:pStyle w:val="Default"/>
              <w:spacing w:line="256" w:lineRule="auto"/>
              <w:jc w:val="center"/>
              <w:rPr>
                <w:sz w:val="20"/>
                <w:szCs w:val="20"/>
              </w:rPr>
            </w:pPr>
            <w:r>
              <w:rPr>
                <w:sz w:val="20"/>
                <w:szCs w:val="20"/>
              </w:rPr>
              <w:t>B3</w:t>
            </w:r>
          </w:p>
        </w:tc>
        <w:tc>
          <w:tcPr>
            <w:tcW w:w="460" w:type="pct"/>
            <w:tcBorders>
              <w:top w:val="single" w:sz="4" w:space="0" w:color="auto"/>
              <w:left w:val="single" w:sz="4" w:space="0" w:color="auto"/>
              <w:bottom w:val="single" w:sz="4" w:space="0" w:color="auto"/>
              <w:right w:val="single" w:sz="4" w:space="0" w:color="auto"/>
            </w:tcBorders>
            <w:vAlign w:val="center"/>
            <w:hideMark/>
          </w:tcPr>
          <w:p w14:paraId="665524CE" w14:textId="77777777" w:rsidR="008C0A68" w:rsidRDefault="008C0A68" w:rsidP="00E41AB9">
            <w:pPr>
              <w:pStyle w:val="Default"/>
              <w:spacing w:line="256" w:lineRule="auto"/>
              <w:jc w:val="center"/>
              <w:rPr>
                <w:sz w:val="20"/>
                <w:szCs w:val="20"/>
              </w:rPr>
            </w:pPr>
            <w:r>
              <w:rPr>
                <w:sz w:val="20"/>
                <w:szCs w:val="20"/>
              </w:rPr>
              <w:t>B-</w:t>
            </w:r>
          </w:p>
        </w:tc>
        <w:tc>
          <w:tcPr>
            <w:tcW w:w="749" w:type="pct"/>
            <w:tcBorders>
              <w:top w:val="single" w:sz="4" w:space="0" w:color="auto"/>
              <w:left w:val="single" w:sz="4" w:space="0" w:color="auto"/>
              <w:bottom w:val="single" w:sz="4" w:space="0" w:color="auto"/>
              <w:right w:val="single" w:sz="4" w:space="0" w:color="auto"/>
            </w:tcBorders>
            <w:vAlign w:val="center"/>
            <w:hideMark/>
          </w:tcPr>
          <w:p w14:paraId="6B71E660" w14:textId="77777777" w:rsidR="008C0A68" w:rsidRDefault="008C0A68" w:rsidP="00E41AB9">
            <w:pPr>
              <w:pStyle w:val="Default"/>
              <w:spacing w:line="256" w:lineRule="auto"/>
              <w:jc w:val="center"/>
              <w:rPr>
                <w:sz w:val="20"/>
                <w:szCs w:val="20"/>
              </w:rPr>
            </w:pPr>
            <w:r>
              <w:rPr>
                <w:sz w:val="20"/>
                <w:szCs w:val="20"/>
              </w:rPr>
              <w:t>ruBB</w:t>
            </w:r>
          </w:p>
        </w:tc>
        <w:tc>
          <w:tcPr>
            <w:tcW w:w="842" w:type="pct"/>
            <w:tcBorders>
              <w:top w:val="single" w:sz="4" w:space="0" w:color="auto"/>
              <w:left w:val="single" w:sz="4" w:space="0" w:color="auto"/>
              <w:bottom w:val="single" w:sz="4" w:space="0" w:color="auto"/>
              <w:right w:val="single" w:sz="4" w:space="0" w:color="auto"/>
            </w:tcBorders>
            <w:vAlign w:val="center"/>
            <w:hideMark/>
          </w:tcPr>
          <w:p w14:paraId="0B9FE52B" w14:textId="77777777" w:rsidR="008C0A68" w:rsidRDefault="008C0A68" w:rsidP="00E41AB9">
            <w:pPr>
              <w:pStyle w:val="Default"/>
              <w:spacing w:line="256" w:lineRule="auto"/>
              <w:jc w:val="center"/>
              <w:rPr>
                <w:sz w:val="20"/>
                <w:szCs w:val="20"/>
              </w:rPr>
            </w:pPr>
            <w:r>
              <w:rPr>
                <w:sz w:val="20"/>
                <w:szCs w:val="20"/>
              </w:rPr>
              <w:t>BB(RU)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10275281" w14:textId="77777777" w:rsidR="008C0A68" w:rsidRDefault="008C0A68" w:rsidP="00E41AB9">
            <w:pPr>
              <w:pStyle w:val="Default"/>
              <w:spacing w:line="256" w:lineRule="auto"/>
              <w:jc w:val="center"/>
              <w:rPr>
                <w:sz w:val="20"/>
                <w:szCs w:val="20"/>
              </w:rPr>
            </w:pPr>
            <w:r>
              <w:rPr>
                <w:rFonts w:eastAsia="Times New Roman"/>
                <w:bCs/>
                <w:color w:val="auto"/>
                <w:sz w:val="20"/>
                <w:szCs w:val="20"/>
              </w:rPr>
              <w:t>BB.ru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4F94D4F6" w14:textId="77777777" w:rsidR="008C0A68" w:rsidRDefault="008C0A68" w:rsidP="00E41AB9">
            <w:pPr>
              <w:pStyle w:val="Default"/>
              <w:spacing w:line="256" w:lineRule="auto"/>
              <w:jc w:val="center"/>
              <w:rPr>
                <w:sz w:val="20"/>
                <w:szCs w:val="20"/>
              </w:rPr>
            </w:pPr>
            <w:r>
              <w:rPr>
                <w:rFonts w:eastAsia="Times New Roman"/>
                <w:bCs/>
                <w:color w:val="auto"/>
                <w:sz w:val="20"/>
                <w:szCs w:val="20"/>
              </w:rPr>
              <w:t>BB|ru|</w:t>
            </w:r>
          </w:p>
        </w:tc>
      </w:tr>
      <w:tr w:rsidR="008C0A68" w14:paraId="3BA42841" w14:textId="77777777" w:rsidTr="00E41AB9">
        <w:trPr>
          <w:trHeight w:val="247"/>
        </w:trPr>
        <w:tc>
          <w:tcPr>
            <w:tcW w:w="626" w:type="pct"/>
            <w:vMerge w:val="restart"/>
            <w:tcBorders>
              <w:top w:val="single" w:sz="4" w:space="0" w:color="auto"/>
              <w:left w:val="single" w:sz="4" w:space="0" w:color="auto"/>
              <w:bottom w:val="nil"/>
              <w:right w:val="single" w:sz="4" w:space="0" w:color="auto"/>
            </w:tcBorders>
            <w:vAlign w:val="center"/>
            <w:hideMark/>
          </w:tcPr>
          <w:p w14:paraId="6681685B"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III</w:t>
            </w:r>
          </w:p>
        </w:tc>
        <w:tc>
          <w:tcPr>
            <w:tcW w:w="459" w:type="pct"/>
            <w:tcBorders>
              <w:top w:val="single" w:sz="4" w:space="0" w:color="auto"/>
              <w:left w:val="single" w:sz="4" w:space="0" w:color="auto"/>
              <w:bottom w:val="single" w:sz="4" w:space="0" w:color="auto"/>
              <w:right w:val="single" w:sz="4" w:space="0" w:color="auto"/>
            </w:tcBorders>
            <w:hideMark/>
          </w:tcPr>
          <w:p w14:paraId="0D8D4666" w14:textId="77777777" w:rsidR="008C0A68" w:rsidRDefault="008C0A68" w:rsidP="00E41AB9">
            <w:pPr>
              <w:pStyle w:val="Default"/>
              <w:spacing w:line="256" w:lineRule="auto"/>
              <w:jc w:val="center"/>
              <w:rPr>
                <w:sz w:val="20"/>
                <w:szCs w:val="20"/>
              </w:rPr>
            </w:pPr>
            <w:r>
              <w:t>CCC+</w:t>
            </w:r>
          </w:p>
        </w:tc>
        <w:tc>
          <w:tcPr>
            <w:tcW w:w="459" w:type="pct"/>
            <w:tcBorders>
              <w:top w:val="single" w:sz="4" w:space="0" w:color="auto"/>
              <w:left w:val="single" w:sz="4" w:space="0" w:color="auto"/>
              <w:bottom w:val="single" w:sz="4" w:space="0" w:color="auto"/>
              <w:right w:val="single" w:sz="4" w:space="0" w:color="auto"/>
            </w:tcBorders>
            <w:hideMark/>
          </w:tcPr>
          <w:p w14:paraId="7FD27AA3" w14:textId="77777777" w:rsidR="008C0A68" w:rsidRDefault="008C0A68" w:rsidP="00E41AB9">
            <w:pPr>
              <w:pStyle w:val="Default"/>
              <w:spacing w:line="256" w:lineRule="auto"/>
              <w:jc w:val="center"/>
              <w:rPr>
                <w:sz w:val="20"/>
                <w:szCs w:val="20"/>
              </w:rPr>
            </w:pPr>
            <w:r>
              <w:t>Саа1</w:t>
            </w:r>
          </w:p>
        </w:tc>
        <w:tc>
          <w:tcPr>
            <w:tcW w:w="460" w:type="pct"/>
            <w:tcBorders>
              <w:top w:val="single" w:sz="4" w:space="0" w:color="auto"/>
              <w:left w:val="single" w:sz="4" w:space="0" w:color="auto"/>
              <w:bottom w:val="single" w:sz="4" w:space="0" w:color="auto"/>
              <w:right w:val="single" w:sz="4" w:space="0" w:color="auto"/>
            </w:tcBorders>
            <w:hideMark/>
          </w:tcPr>
          <w:p w14:paraId="48B7B946" w14:textId="77777777" w:rsidR="008C0A68" w:rsidRDefault="008C0A68" w:rsidP="00E41AB9">
            <w:pPr>
              <w:pStyle w:val="Default"/>
              <w:spacing w:line="256" w:lineRule="auto"/>
              <w:jc w:val="center"/>
              <w:rPr>
                <w:sz w:val="20"/>
                <w:szCs w:val="20"/>
              </w:rPr>
            </w:pPr>
            <w:r>
              <w:t>CCC</w:t>
            </w:r>
          </w:p>
        </w:tc>
        <w:tc>
          <w:tcPr>
            <w:tcW w:w="749" w:type="pct"/>
            <w:tcBorders>
              <w:top w:val="single" w:sz="4" w:space="0" w:color="auto"/>
              <w:left w:val="single" w:sz="4" w:space="0" w:color="auto"/>
              <w:bottom w:val="single" w:sz="4" w:space="0" w:color="auto"/>
              <w:right w:val="single" w:sz="4" w:space="0" w:color="auto"/>
            </w:tcBorders>
            <w:vAlign w:val="center"/>
            <w:hideMark/>
          </w:tcPr>
          <w:p w14:paraId="4B4B8839" w14:textId="77777777" w:rsidR="008C0A68" w:rsidRDefault="008C0A68" w:rsidP="00E41AB9">
            <w:pPr>
              <w:pStyle w:val="Default"/>
              <w:spacing w:line="256" w:lineRule="auto"/>
              <w:jc w:val="center"/>
              <w:rPr>
                <w:sz w:val="20"/>
                <w:szCs w:val="20"/>
              </w:rPr>
            </w:pPr>
            <w:r>
              <w:rPr>
                <w:sz w:val="20"/>
                <w:szCs w:val="20"/>
              </w:rPr>
              <w:t>ruBB-</w:t>
            </w:r>
          </w:p>
        </w:tc>
        <w:tc>
          <w:tcPr>
            <w:tcW w:w="842" w:type="pct"/>
            <w:tcBorders>
              <w:top w:val="single" w:sz="4" w:space="0" w:color="auto"/>
              <w:left w:val="single" w:sz="4" w:space="0" w:color="auto"/>
              <w:bottom w:val="single" w:sz="4" w:space="0" w:color="auto"/>
              <w:right w:val="single" w:sz="4" w:space="0" w:color="auto"/>
            </w:tcBorders>
            <w:vAlign w:val="center"/>
            <w:hideMark/>
          </w:tcPr>
          <w:p w14:paraId="2BB5CBB9" w14:textId="77777777" w:rsidR="008C0A68" w:rsidRDefault="008C0A68" w:rsidP="00E41AB9">
            <w:pPr>
              <w:pStyle w:val="Default"/>
              <w:spacing w:line="256" w:lineRule="auto"/>
              <w:jc w:val="center"/>
              <w:rPr>
                <w:sz w:val="20"/>
                <w:szCs w:val="20"/>
              </w:rPr>
            </w:pPr>
            <w:r>
              <w:rPr>
                <w:sz w:val="20"/>
                <w:szCs w:val="20"/>
              </w:rPr>
              <w:t>BB-(RU)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785549F3" w14:textId="77777777" w:rsidR="008C0A68" w:rsidRDefault="008C0A68" w:rsidP="00E41AB9">
            <w:pPr>
              <w:pStyle w:val="Default"/>
              <w:spacing w:line="256" w:lineRule="auto"/>
              <w:jc w:val="center"/>
              <w:rPr>
                <w:sz w:val="20"/>
                <w:szCs w:val="20"/>
              </w:rPr>
            </w:pPr>
            <w:r>
              <w:rPr>
                <w:rFonts w:eastAsia="Times New Roman"/>
                <w:bCs/>
                <w:color w:val="auto"/>
                <w:sz w:val="20"/>
                <w:szCs w:val="20"/>
              </w:rPr>
              <w:t>BB-.ru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7B02F5FF" w14:textId="77777777" w:rsidR="008C0A68" w:rsidRDefault="008C0A68" w:rsidP="00E41AB9">
            <w:pPr>
              <w:pStyle w:val="Default"/>
              <w:spacing w:line="256" w:lineRule="auto"/>
              <w:jc w:val="center"/>
              <w:rPr>
                <w:sz w:val="20"/>
                <w:szCs w:val="20"/>
              </w:rPr>
            </w:pPr>
            <w:r>
              <w:rPr>
                <w:rFonts w:eastAsia="Times New Roman"/>
                <w:bCs/>
                <w:color w:val="auto"/>
                <w:sz w:val="20"/>
                <w:szCs w:val="20"/>
              </w:rPr>
              <w:t>BB-|ru|</w:t>
            </w:r>
          </w:p>
        </w:tc>
      </w:tr>
      <w:tr w:rsidR="008C0A68" w14:paraId="4745D75A" w14:textId="77777777" w:rsidTr="00E41AB9">
        <w:trPr>
          <w:trHeight w:val="117"/>
        </w:trPr>
        <w:tc>
          <w:tcPr>
            <w:tcW w:w="0" w:type="auto"/>
            <w:vMerge/>
            <w:tcBorders>
              <w:top w:val="single" w:sz="4" w:space="0" w:color="auto"/>
              <w:left w:val="single" w:sz="4" w:space="0" w:color="auto"/>
              <w:bottom w:val="nil"/>
              <w:right w:val="single" w:sz="4" w:space="0" w:color="auto"/>
            </w:tcBorders>
            <w:vAlign w:val="center"/>
            <w:hideMark/>
          </w:tcPr>
          <w:p w14:paraId="23A91FC1"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hideMark/>
          </w:tcPr>
          <w:p w14:paraId="2A33F64C" w14:textId="77777777" w:rsidR="008C0A68" w:rsidRDefault="008C0A68" w:rsidP="00E41AB9">
            <w:pPr>
              <w:pStyle w:val="Default"/>
              <w:spacing w:line="256" w:lineRule="auto"/>
              <w:jc w:val="center"/>
              <w:rPr>
                <w:sz w:val="20"/>
                <w:szCs w:val="20"/>
              </w:rPr>
            </w:pPr>
            <w:r>
              <w:t>CCC</w:t>
            </w:r>
          </w:p>
        </w:tc>
        <w:tc>
          <w:tcPr>
            <w:tcW w:w="459" w:type="pct"/>
            <w:tcBorders>
              <w:top w:val="single" w:sz="4" w:space="0" w:color="auto"/>
              <w:left w:val="single" w:sz="4" w:space="0" w:color="auto"/>
              <w:bottom w:val="single" w:sz="4" w:space="0" w:color="auto"/>
              <w:right w:val="single" w:sz="4" w:space="0" w:color="auto"/>
            </w:tcBorders>
            <w:hideMark/>
          </w:tcPr>
          <w:p w14:paraId="267C8A84" w14:textId="77777777" w:rsidR="008C0A68" w:rsidRDefault="008C0A68" w:rsidP="00E41AB9">
            <w:pPr>
              <w:pStyle w:val="Default"/>
              <w:spacing w:line="256" w:lineRule="auto"/>
              <w:jc w:val="center"/>
              <w:rPr>
                <w:sz w:val="20"/>
                <w:szCs w:val="20"/>
              </w:rPr>
            </w:pPr>
            <w:r>
              <w:t>Саа2</w:t>
            </w:r>
          </w:p>
        </w:tc>
        <w:tc>
          <w:tcPr>
            <w:tcW w:w="460" w:type="pct"/>
            <w:tcBorders>
              <w:top w:val="single" w:sz="4" w:space="0" w:color="auto"/>
              <w:left w:val="single" w:sz="4" w:space="0" w:color="auto"/>
              <w:bottom w:val="single" w:sz="4" w:space="0" w:color="auto"/>
              <w:right w:val="single" w:sz="4" w:space="0" w:color="auto"/>
            </w:tcBorders>
            <w:hideMark/>
          </w:tcPr>
          <w:p w14:paraId="12DAB9AE" w14:textId="77777777" w:rsidR="008C0A68" w:rsidRDefault="008C0A68" w:rsidP="00E41AB9">
            <w:pPr>
              <w:pStyle w:val="Default"/>
              <w:spacing w:line="256" w:lineRule="auto"/>
              <w:jc w:val="center"/>
              <w:rPr>
                <w:sz w:val="20"/>
                <w:szCs w:val="20"/>
              </w:rPr>
            </w:pPr>
            <w:r>
              <w:t>CCC</w:t>
            </w:r>
          </w:p>
        </w:tc>
        <w:tc>
          <w:tcPr>
            <w:tcW w:w="749" w:type="pct"/>
            <w:tcBorders>
              <w:top w:val="single" w:sz="4" w:space="0" w:color="auto"/>
              <w:left w:val="single" w:sz="4" w:space="0" w:color="auto"/>
              <w:bottom w:val="single" w:sz="4" w:space="0" w:color="auto"/>
              <w:right w:val="single" w:sz="4" w:space="0" w:color="auto"/>
            </w:tcBorders>
            <w:vAlign w:val="center"/>
            <w:hideMark/>
          </w:tcPr>
          <w:p w14:paraId="6C1205E0" w14:textId="77777777" w:rsidR="008C0A68" w:rsidRDefault="008C0A68" w:rsidP="00E41AB9">
            <w:pPr>
              <w:pStyle w:val="Default"/>
              <w:spacing w:line="256" w:lineRule="auto"/>
              <w:jc w:val="center"/>
              <w:rPr>
                <w:sz w:val="20"/>
                <w:szCs w:val="20"/>
              </w:rPr>
            </w:pPr>
            <w:r>
              <w:rPr>
                <w:sz w:val="20"/>
                <w:szCs w:val="20"/>
              </w:rPr>
              <w:t>ruB+</w:t>
            </w:r>
          </w:p>
        </w:tc>
        <w:tc>
          <w:tcPr>
            <w:tcW w:w="842" w:type="pct"/>
            <w:tcBorders>
              <w:top w:val="single" w:sz="4" w:space="0" w:color="auto"/>
              <w:left w:val="single" w:sz="4" w:space="0" w:color="auto"/>
              <w:bottom w:val="single" w:sz="4" w:space="0" w:color="auto"/>
              <w:right w:val="single" w:sz="4" w:space="0" w:color="auto"/>
            </w:tcBorders>
            <w:vAlign w:val="center"/>
            <w:hideMark/>
          </w:tcPr>
          <w:p w14:paraId="0A784F06" w14:textId="77777777" w:rsidR="008C0A68" w:rsidRDefault="008C0A68" w:rsidP="00E41AB9">
            <w:pPr>
              <w:pStyle w:val="Default"/>
              <w:spacing w:line="256" w:lineRule="auto"/>
              <w:jc w:val="center"/>
              <w:rPr>
                <w:sz w:val="20"/>
                <w:szCs w:val="20"/>
              </w:rPr>
            </w:pPr>
            <w:r>
              <w:rPr>
                <w:sz w:val="20"/>
                <w:szCs w:val="20"/>
              </w:rPr>
              <w:t>B+(RU)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447C5B57" w14:textId="77777777" w:rsidR="008C0A68" w:rsidRDefault="008C0A68" w:rsidP="00E41AB9">
            <w:pPr>
              <w:pStyle w:val="Default"/>
              <w:spacing w:line="256" w:lineRule="auto"/>
              <w:jc w:val="center"/>
              <w:rPr>
                <w:sz w:val="20"/>
                <w:szCs w:val="20"/>
              </w:rPr>
            </w:pPr>
            <w:r>
              <w:rPr>
                <w:rFonts w:eastAsia="Times New Roman"/>
                <w:bCs/>
                <w:color w:val="auto"/>
                <w:sz w:val="20"/>
                <w:szCs w:val="20"/>
              </w:rPr>
              <w:t>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71C9015A" w14:textId="77777777" w:rsidR="008C0A68" w:rsidRDefault="008C0A68" w:rsidP="00E41AB9">
            <w:pPr>
              <w:pStyle w:val="Default"/>
              <w:spacing w:line="256" w:lineRule="auto"/>
              <w:jc w:val="center"/>
              <w:rPr>
                <w:sz w:val="20"/>
                <w:szCs w:val="20"/>
              </w:rPr>
            </w:pPr>
            <w:r>
              <w:rPr>
                <w:rFonts w:eastAsia="Times New Roman"/>
                <w:bCs/>
                <w:color w:val="auto"/>
                <w:sz w:val="20"/>
                <w:szCs w:val="20"/>
              </w:rPr>
              <w:t>B+|ru|</w:t>
            </w:r>
          </w:p>
        </w:tc>
      </w:tr>
      <w:tr w:rsidR="008C0A68" w14:paraId="4928079D" w14:textId="77777777" w:rsidTr="00E41AB9">
        <w:trPr>
          <w:trHeight w:val="117"/>
        </w:trPr>
        <w:tc>
          <w:tcPr>
            <w:tcW w:w="0" w:type="auto"/>
            <w:vMerge/>
            <w:tcBorders>
              <w:top w:val="single" w:sz="4" w:space="0" w:color="auto"/>
              <w:left w:val="single" w:sz="4" w:space="0" w:color="auto"/>
              <w:bottom w:val="nil"/>
              <w:right w:val="single" w:sz="4" w:space="0" w:color="auto"/>
            </w:tcBorders>
            <w:vAlign w:val="center"/>
            <w:hideMark/>
          </w:tcPr>
          <w:p w14:paraId="5D6362B2"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hideMark/>
          </w:tcPr>
          <w:p w14:paraId="48CE400C" w14:textId="77777777" w:rsidR="008C0A68" w:rsidRDefault="008C0A68" w:rsidP="00E41AB9">
            <w:pPr>
              <w:pStyle w:val="Default"/>
              <w:spacing w:line="256" w:lineRule="auto"/>
              <w:jc w:val="center"/>
              <w:rPr>
                <w:sz w:val="20"/>
                <w:szCs w:val="20"/>
              </w:rPr>
            </w:pPr>
            <w:r>
              <w:t>CCC-</w:t>
            </w:r>
          </w:p>
        </w:tc>
        <w:tc>
          <w:tcPr>
            <w:tcW w:w="459" w:type="pct"/>
            <w:tcBorders>
              <w:top w:val="single" w:sz="4" w:space="0" w:color="auto"/>
              <w:left w:val="single" w:sz="4" w:space="0" w:color="auto"/>
              <w:bottom w:val="single" w:sz="4" w:space="0" w:color="auto"/>
              <w:right w:val="single" w:sz="4" w:space="0" w:color="auto"/>
            </w:tcBorders>
            <w:hideMark/>
          </w:tcPr>
          <w:p w14:paraId="2B7BF017" w14:textId="77777777" w:rsidR="008C0A68" w:rsidRDefault="008C0A68" w:rsidP="00E41AB9">
            <w:pPr>
              <w:pStyle w:val="Default"/>
              <w:spacing w:line="256" w:lineRule="auto"/>
              <w:jc w:val="center"/>
              <w:rPr>
                <w:sz w:val="20"/>
                <w:szCs w:val="20"/>
              </w:rPr>
            </w:pPr>
            <w:r>
              <w:t>Саа3</w:t>
            </w:r>
          </w:p>
        </w:tc>
        <w:tc>
          <w:tcPr>
            <w:tcW w:w="460" w:type="pct"/>
            <w:tcBorders>
              <w:top w:val="single" w:sz="4" w:space="0" w:color="auto"/>
              <w:left w:val="single" w:sz="4" w:space="0" w:color="auto"/>
              <w:bottom w:val="single" w:sz="4" w:space="0" w:color="auto"/>
              <w:right w:val="single" w:sz="4" w:space="0" w:color="auto"/>
            </w:tcBorders>
            <w:hideMark/>
          </w:tcPr>
          <w:p w14:paraId="4CB67321" w14:textId="77777777" w:rsidR="008C0A68" w:rsidRDefault="008C0A68" w:rsidP="00E41AB9">
            <w:pPr>
              <w:pStyle w:val="Default"/>
              <w:spacing w:line="256" w:lineRule="auto"/>
              <w:jc w:val="center"/>
              <w:rPr>
                <w:sz w:val="20"/>
                <w:szCs w:val="20"/>
              </w:rPr>
            </w:pPr>
            <w:r>
              <w:t>CCC</w:t>
            </w:r>
          </w:p>
        </w:tc>
        <w:tc>
          <w:tcPr>
            <w:tcW w:w="749" w:type="pct"/>
            <w:tcBorders>
              <w:top w:val="single" w:sz="4" w:space="0" w:color="auto"/>
              <w:left w:val="single" w:sz="4" w:space="0" w:color="auto"/>
              <w:bottom w:val="single" w:sz="4" w:space="0" w:color="auto"/>
              <w:right w:val="single" w:sz="4" w:space="0" w:color="auto"/>
            </w:tcBorders>
            <w:vAlign w:val="center"/>
            <w:hideMark/>
          </w:tcPr>
          <w:p w14:paraId="0E6B8B7D" w14:textId="77777777" w:rsidR="008C0A68" w:rsidRDefault="008C0A68" w:rsidP="00E41AB9">
            <w:pPr>
              <w:pStyle w:val="Default"/>
              <w:spacing w:line="256" w:lineRule="auto"/>
              <w:jc w:val="center"/>
              <w:rPr>
                <w:sz w:val="20"/>
                <w:szCs w:val="20"/>
              </w:rPr>
            </w:pPr>
            <w:r>
              <w:rPr>
                <w:sz w:val="20"/>
                <w:szCs w:val="20"/>
              </w:rPr>
              <w:t>ruB</w:t>
            </w:r>
          </w:p>
        </w:tc>
        <w:tc>
          <w:tcPr>
            <w:tcW w:w="842" w:type="pct"/>
            <w:tcBorders>
              <w:top w:val="single" w:sz="4" w:space="0" w:color="auto"/>
              <w:left w:val="single" w:sz="4" w:space="0" w:color="auto"/>
              <w:bottom w:val="single" w:sz="4" w:space="0" w:color="auto"/>
              <w:right w:val="single" w:sz="4" w:space="0" w:color="auto"/>
            </w:tcBorders>
            <w:vAlign w:val="center"/>
            <w:hideMark/>
          </w:tcPr>
          <w:p w14:paraId="4ED2ED5C" w14:textId="77777777" w:rsidR="008C0A68" w:rsidRDefault="008C0A68" w:rsidP="00E41AB9">
            <w:pPr>
              <w:pStyle w:val="Default"/>
              <w:spacing w:line="256" w:lineRule="auto"/>
              <w:jc w:val="center"/>
              <w:rPr>
                <w:sz w:val="20"/>
                <w:szCs w:val="20"/>
              </w:rPr>
            </w:pPr>
            <w:r>
              <w:rPr>
                <w:sz w:val="20"/>
                <w:szCs w:val="20"/>
              </w:rPr>
              <w:t>B(RU)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0CE8D00C" w14:textId="77777777" w:rsidR="008C0A68" w:rsidRDefault="008C0A68" w:rsidP="00E41AB9">
            <w:pPr>
              <w:pStyle w:val="Default"/>
              <w:spacing w:line="256" w:lineRule="auto"/>
              <w:jc w:val="center"/>
              <w:rPr>
                <w:sz w:val="20"/>
                <w:szCs w:val="20"/>
              </w:rPr>
            </w:pPr>
            <w:r>
              <w:rPr>
                <w:rFonts w:eastAsia="Times New Roman"/>
                <w:bCs/>
                <w:color w:val="auto"/>
                <w:sz w:val="20"/>
                <w:szCs w:val="20"/>
              </w:rPr>
              <w:t>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5A8205DE" w14:textId="77777777" w:rsidR="008C0A68" w:rsidRDefault="008C0A68" w:rsidP="00E41AB9">
            <w:pPr>
              <w:pStyle w:val="Default"/>
              <w:spacing w:line="256" w:lineRule="auto"/>
              <w:jc w:val="center"/>
              <w:rPr>
                <w:sz w:val="20"/>
                <w:szCs w:val="20"/>
              </w:rPr>
            </w:pPr>
            <w:r>
              <w:rPr>
                <w:rFonts w:eastAsia="Times New Roman"/>
                <w:bCs/>
                <w:color w:val="auto"/>
                <w:sz w:val="20"/>
                <w:szCs w:val="20"/>
              </w:rPr>
              <w:t>B|ru|</w:t>
            </w:r>
          </w:p>
        </w:tc>
      </w:tr>
      <w:tr w:rsidR="008C0A68" w14:paraId="62AD17AF" w14:textId="77777777" w:rsidTr="00E41AB9">
        <w:trPr>
          <w:trHeight w:val="117"/>
        </w:trPr>
        <w:tc>
          <w:tcPr>
            <w:tcW w:w="0" w:type="auto"/>
            <w:vMerge/>
            <w:tcBorders>
              <w:top w:val="single" w:sz="4" w:space="0" w:color="auto"/>
              <w:left w:val="single" w:sz="4" w:space="0" w:color="auto"/>
              <w:bottom w:val="nil"/>
              <w:right w:val="single" w:sz="4" w:space="0" w:color="auto"/>
            </w:tcBorders>
            <w:vAlign w:val="center"/>
            <w:hideMark/>
          </w:tcPr>
          <w:p w14:paraId="1FB8F671"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hideMark/>
          </w:tcPr>
          <w:p w14:paraId="15D30FD1" w14:textId="77777777" w:rsidR="008C0A68" w:rsidRDefault="008C0A68" w:rsidP="00E41AB9">
            <w:pPr>
              <w:pStyle w:val="Default"/>
              <w:spacing w:line="256" w:lineRule="auto"/>
              <w:jc w:val="center"/>
              <w:rPr>
                <w:sz w:val="20"/>
                <w:szCs w:val="20"/>
              </w:rPr>
            </w:pPr>
            <w:r>
              <w:t>CC</w:t>
            </w:r>
          </w:p>
        </w:tc>
        <w:tc>
          <w:tcPr>
            <w:tcW w:w="459" w:type="pct"/>
            <w:tcBorders>
              <w:top w:val="single" w:sz="4" w:space="0" w:color="auto"/>
              <w:left w:val="single" w:sz="4" w:space="0" w:color="auto"/>
              <w:bottom w:val="single" w:sz="4" w:space="0" w:color="auto"/>
              <w:right w:val="single" w:sz="4" w:space="0" w:color="auto"/>
            </w:tcBorders>
            <w:hideMark/>
          </w:tcPr>
          <w:p w14:paraId="5D127255" w14:textId="77777777" w:rsidR="008C0A68" w:rsidRDefault="008C0A68" w:rsidP="00E41AB9">
            <w:pPr>
              <w:pStyle w:val="Default"/>
              <w:spacing w:line="256" w:lineRule="auto"/>
              <w:jc w:val="center"/>
              <w:rPr>
                <w:sz w:val="20"/>
                <w:szCs w:val="20"/>
              </w:rPr>
            </w:pPr>
            <w:r>
              <w:t>Ca</w:t>
            </w:r>
          </w:p>
        </w:tc>
        <w:tc>
          <w:tcPr>
            <w:tcW w:w="460" w:type="pct"/>
            <w:tcBorders>
              <w:top w:val="single" w:sz="4" w:space="0" w:color="auto"/>
              <w:left w:val="single" w:sz="4" w:space="0" w:color="auto"/>
              <w:bottom w:val="single" w:sz="4" w:space="0" w:color="auto"/>
              <w:right w:val="single" w:sz="4" w:space="0" w:color="auto"/>
            </w:tcBorders>
            <w:hideMark/>
          </w:tcPr>
          <w:p w14:paraId="27B90391" w14:textId="77777777" w:rsidR="008C0A68" w:rsidRDefault="008C0A68" w:rsidP="00E41AB9">
            <w:pPr>
              <w:pStyle w:val="Default"/>
              <w:spacing w:line="256" w:lineRule="auto"/>
              <w:jc w:val="center"/>
              <w:rPr>
                <w:sz w:val="20"/>
                <w:szCs w:val="20"/>
              </w:rPr>
            </w:pPr>
            <w:r>
              <w:t>CCC</w:t>
            </w:r>
          </w:p>
        </w:tc>
        <w:tc>
          <w:tcPr>
            <w:tcW w:w="749" w:type="pct"/>
            <w:tcBorders>
              <w:top w:val="single" w:sz="4" w:space="0" w:color="auto"/>
              <w:left w:val="single" w:sz="4" w:space="0" w:color="auto"/>
              <w:bottom w:val="single" w:sz="4" w:space="0" w:color="auto"/>
              <w:right w:val="single" w:sz="4" w:space="0" w:color="auto"/>
            </w:tcBorders>
            <w:vAlign w:val="center"/>
            <w:hideMark/>
          </w:tcPr>
          <w:p w14:paraId="7FCA9F99" w14:textId="77777777" w:rsidR="008C0A68" w:rsidRDefault="008C0A68" w:rsidP="00E41AB9">
            <w:pPr>
              <w:pStyle w:val="Default"/>
              <w:spacing w:line="256" w:lineRule="auto"/>
              <w:jc w:val="center"/>
              <w:rPr>
                <w:sz w:val="20"/>
                <w:szCs w:val="20"/>
              </w:rPr>
            </w:pPr>
            <w:r>
              <w:rPr>
                <w:sz w:val="20"/>
                <w:szCs w:val="20"/>
              </w:rPr>
              <w:t>ruB-</w:t>
            </w:r>
          </w:p>
        </w:tc>
        <w:tc>
          <w:tcPr>
            <w:tcW w:w="842" w:type="pct"/>
            <w:tcBorders>
              <w:top w:val="single" w:sz="4" w:space="0" w:color="auto"/>
              <w:left w:val="single" w:sz="4" w:space="0" w:color="auto"/>
              <w:bottom w:val="single" w:sz="4" w:space="0" w:color="auto"/>
              <w:right w:val="single" w:sz="4" w:space="0" w:color="auto"/>
            </w:tcBorders>
            <w:vAlign w:val="center"/>
            <w:hideMark/>
          </w:tcPr>
          <w:p w14:paraId="1B59AD31" w14:textId="77777777" w:rsidR="008C0A68" w:rsidRDefault="008C0A68" w:rsidP="00E41AB9">
            <w:pPr>
              <w:pStyle w:val="Default"/>
              <w:spacing w:line="256" w:lineRule="auto"/>
              <w:jc w:val="center"/>
              <w:rPr>
                <w:sz w:val="20"/>
                <w:szCs w:val="20"/>
              </w:rPr>
            </w:pPr>
            <w:r>
              <w:rPr>
                <w:sz w:val="20"/>
                <w:szCs w:val="20"/>
              </w:rPr>
              <w:t>B-(RU)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5A55E6F9" w14:textId="77777777" w:rsidR="008C0A68" w:rsidRDefault="008C0A68" w:rsidP="00E41AB9">
            <w:pPr>
              <w:pStyle w:val="Default"/>
              <w:spacing w:line="256" w:lineRule="auto"/>
              <w:jc w:val="center"/>
              <w:rPr>
                <w:sz w:val="20"/>
                <w:szCs w:val="20"/>
              </w:rPr>
            </w:pPr>
            <w:r>
              <w:rPr>
                <w:rFonts w:eastAsia="Times New Roman"/>
                <w:bCs/>
                <w:color w:val="auto"/>
                <w:sz w:val="20"/>
                <w:szCs w:val="20"/>
              </w:rPr>
              <w:t>B-.ru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2C8AC4D0" w14:textId="77777777" w:rsidR="008C0A68" w:rsidRDefault="008C0A68" w:rsidP="00E41AB9">
            <w:pPr>
              <w:pStyle w:val="Default"/>
              <w:spacing w:line="256" w:lineRule="auto"/>
              <w:jc w:val="center"/>
              <w:rPr>
                <w:sz w:val="20"/>
                <w:szCs w:val="20"/>
              </w:rPr>
            </w:pPr>
            <w:r>
              <w:rPr>
                <w:rFonts w:eastAsia="Times New Roman"/>
                <w:bCs/>
                <w:color w:val="auto"/>
                <w:sz w:val="20"/>
                <w:szCs w:val="20"/>
              </w:rPr>
              <w:t>B-|ru|</w:t>
            </w:r>
          </w:p>
        </w:tc>
      </w:tr>
      <w:tr w:rsidR="008C0A68" w14:paraId="28B8ED68" w14:textId="77777777" w:rsidTr="00E41AB9">
        <w:trPr>
          <w:trHeight w:val="117"/>
        </w:trPr>
        <w:tc>
          <w:tcPr>
            <w:tcW w:w="0" w:type="auto"/>
            <w:vMerge/>
            <w:tcBorders>
              <w:top w:val="single" w:sz="4" w:space="0" w:color="auto"/>
              <w:left w:val="single" w:sz="4" w:space="0" w:color="auto"/>
              <w:bottom w:val="nil"/>
              <w:right w:val="single" w:sz="4" w:space="0" w:color="auto"/>
            </w:tcBorders>
            <w:vAlign w:val="center"/>
            <w:hideMark/>
          </w:tcPr>
          <w:p w14:paraId="2572704A" w14:textId="77777777" w:rsidR="008C0A68" w:rsidRDefault="008C0A68" w:rsidP="00E41AB9">
            <w:pPr>
              <w:spacing w:line="256" w:lineRule="auto"/>
              <w:rPr>
                <w:rFonts w:eastAsia="Calibri"/>
                <w:color w:val="000000"/>
                <w:sz w:val="20"/>
                <w:lang w:eastAsia="en-US"/>
              </w:rPr>
            </w:pPr>
          </w:p>
        </w:tc>
        <w:tc>
          <w:tcPr>
            <w:tcW w:w="459" w:type="pct"/>
            <w:tcBorders>
              <w:top w:val="single" w:sz="4" w:space="0" w:color="auto"/>
              <w:left w:val="single" w:sz="4" w:space="0" w:color="auto"/>
              <w:bottom w:val="single" w:sz="4" w:space="0" w:color="auto"/>
              <w:right w:val="single" w:sz="4" w:space="0" w:color="auto"/>
            </w:tcBorders>
            <w:hideMark/>
          </w:tcPr>
          <w:p w14:paraId="324A86F3" w14:textId="77777777" w:rsidR="008C0A68" w:rsidRDefault="008C0A68" w:rsidP="00E41AB9">
            <w:pPr>
              <w:pStyle w:val="Default"/>
              <w:spacing w:line="256" w:lineRule="auto"/>
              <w:jc w:val="center"/>
              <w:rPr>
                <w:sz w:val="20"/>
                <w:szCs w:val="20"/>
              </w:rPr>
            </w:pPr>
            <w:r>
              <w:t>С</w:t>
            </w:r>
          </w:p>
        </w:tc>
        <w:tc>
          <w:tcPr>
            <w:tcW w:w="459" w:type="pct"/>
            <w:tcBorders>
              <w:top w:val="single" w:sz="4" w:space="0" w:color="auto"/>
              <w:left w:val="single" w:sz="4" w:space="0" w:color="auto"/>
              <w:bottom w:val="single" w:sz="4" w:space="0" w:color="auto"/>
              <w:right w:val="single" w:sz="4" w:space="0" w:color="auto"/>
            </w:tcBorders>
            <w:hideMark/>
          </w:tcPr>
          <w:p w14:paraId="7027D75D" w14:textId="77777777" w:rsidR="008C0A68" w:rsidRDefault="008C0A68" w:rsidP="00E41AB9">
            <w:pPr>
              <w:pStyle w:val="Default"/>
              <w:spacing w:line="256" w:lineRule="auto"/>
              <w:jc w:val="center"/>
              <w:rPr>
                <w:sz w:val="20"/>
                <w:szCs w:val="20"/>
              </w:rPr>
            </w:pPr>
            <w:r>
              <w:t>C</w:t>
            </w:r>
          </w:p>
        </w:tc>
        <w:tc>
          <w:tcPr>
            <w:tcW w:w="460" w:type="pct"/>
            <w:tcBorders>
              <w:top w:val="single" w:sz="4" w:space="0" w:color="auto"/>
              <w:left w:val="single" w:sz="4" w:space="0" w:color="auto"/>
              <w:bottom w:val="single" w:sz="4" w:space="0" w:color="auto"/>
              <w:right w:val="single" w:sz="4" w:space="0" w:color="auto"/>
            </w:tcBorders>
            <w:hideMark/>
          </w:tcPr>
          <w:p w14:paraId="437E08BD" w14:textId="77777777" w:rsidR="008C0A68" w:rsidRDefault="008C0A68" w:rsidP="00E41AB9">
            <w:pPr>
              <w:pStyle w:val="Default"/>
              <w:spacing w:line="256" w:lineRule="auto"/>
              <w:jc w:val="center"/>
              <w:rPr>
                <w:sz w:val="20"/>
                <w:szCs w:val="20"/>
              </w:rPr>
            </w:pPr>
            <w:r>
              <w:t>CCC</w:t>
            </w:r>
          </w:p>
        </w:tc>
        <w:tc>
          <w:tcPr>
            <w:tcW w:w="749" w:type="pct"/>
            <w:tcBorders>
              <w:top w:val="single" w:sz="4" w:space="0" w:color="auto"/>
              <w:left w:val="single" w:sz="4" w:space="0" w:color="auto"/>
              <w:bottom w:val="single" w:sz="4" w:space="0" w:color="auto"/>
              <w:right w:val="single" w:sz="4" w:space="0" w:color="auto"/>
            </w:tcBorders>
            <w:vAlign w:val="center"/>
            <w:hideMark/>
          </w:tcPr>
          <w:p w14:paraId="55222189" w14:textId="77777777" w:rsidR="008C0A68" w:rsidRDefault="008C0A68" w:rsidP="00E41AB9">
            <w:pPr>
              <w:pStyle w:val="Default"/>
              <w:spacing w:line="256" w:lineRule="auto"/>
              <w:jc w:val="center"/>
              <w:rPr>
                <w:sz w:val="20"/>
                <w:szCs w:val="20"/>
              </w:rPr>
            </w:pPr>
            <w:r>
              <w:rPr>
                <w:sz w:val="20"/>
                <w:szCs w:val="20"/>
              </w:rPr>
              <w:t>ruССС, ruСС, ruС</w:t>
            </w:r>
          </w:p>
        </w:tc>
        <w:tc>
          <w:tcPr>
            <w:tcW w:w="842" w:type="pct"/>
            <w:tcBorders>
              <w:top w:val="single" w:sz="4" w:space="0" w:color="auto"/>
              <w:left w:val="single" w:sz="4" w:space="0" w:color="auto"/>
              <w:bottom w:val="single" w:sz="4" w:space="0" w:color="auto"/>
              <w:right w:val="single" w:sz="4" w:space="0" w:color="auto"/>
            </w:tcBorders>
            <w:vAlign w:val="center"/>
            <w:hideMark/>
          </w:tcPr>
          <w:p w14:paraId="196D6DAC" w14:textId="77777777" w:rsidR="008C0A68" w:rsidRDefault="008C0A68" w:rsidP="00E41AB9">
            <w:pPr>
              <w:pStyle w:val="Default"/>
              <w:spacing w:line="256" w:lineRule="auto"/>
              <w:jc w:val="center"/>
              <w:rPr>
                <w:sz w:val="20"/>
                <w:szCs w:val="20"/>
              </w:rPr>
            </w:pPr>
            <w:r>
              <w:rPr>
                <w:sz w:val="20"/>
                <w:szCs w:val="20"/>
              </w:rPr>
              <w:t>ССС (RU), СС (RU), С (RU)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16151E5A" w14:textId="77777777" w:rsidR="008C0A68" w:rsidRDefault="008C0A68" w:rsidP="00E41AB9">
            <w:pPr>
              <w:pStyle w:val="Default"/>
              <w:spacing w:line="256" w:lineRule="auto"/>
              <w:jc w:val="center"/>
              <w:rPr>
                <w:sz w:val="20"/>
                <w:szCs w:val="20"/>
              </w:rPr>
            </w:pPr>
            <w:r>
              <w:rPr>
                <w:sz w:val="20"/>
                <w:szCs w:val="20"/>
              </w:rPr>
              <w:t>ССС.</w:t>
            </w:r>
            <w:r>
              <w:rPr>
                <w:sz w:val="20"/>
                <w:szCs w:val="20"/>
                <w:lang w:val="en-US"/>
              </w:rPr>
              <w:t>ru</w:t>
            </w:r>
            <w:r>
              <w:rPr>
                <w:sz w:val="20"/>
                <w:szCs w:val="20"/>
              </w:rPr>
              <w:t xml:space="preserve">, </w:t>
            </w:r>
            <w:r>
              <w:rPr>
                <w:sz w:val="20"/>
                <w:szCs w:val="20"/>
                <w:lang w:val="en-US"/>
              </w:rPr>
              <w:t>CC</w:t>
            </w:r>
            <w:r>
              <w:rPr>
                <w:sz w:val="20"/>
                <w:szCs w:val="20"/>
              </w:rPr>
              <w:t>.</w:t>
            </w:r>
            <w:r>
              <w:rPr>
                <w:sz w:val="20"/>
                <w:szCs w:val="20"/>
                <w:lang w:val="en-US"/>
              </w:rPr>
              <w:t>ru</w:t>
            </w:r>
            <w:r>
              <w:rPr>
                <w:sz w:val="20"/>
                <w:szCs w:val="20"/>
              </w:rPr>
              <w:t xml:space="preserve">, </w:t>
            </w:r>
            <w:r>
              <w:rPr>
                <w:sz w:val="20"/>
                <w:szCs w:val="20"/>
                <w:lang w:val="en-US"/>
              </w:rPr>
              <w:t>C</w:t>
            </w:r>
            <w:r>
              <w:rPr>
                <w:sz w:val="20"/>
                <w:szCs w:val="20"/>
              </w:rPr>
              <w:t>.</w:t>
            </w:r>
            <w:r>
              <w:rPr>
                <w:sz w:val="20"/>
                <w:szCs w:val="20"/>
                <w:lang w:val="en-US"/>
              </w:rPr>
              <w:t>ru</w:t>
            </w:r>
          </w:p>
        </w:tc>
        <w:tc>
          <w:tcPr>
            <w:tcW w:w="749" w:type="pct"/>
            <w:tcBorders>
              <w:top w:val="single" w:sz="4" w:space="0" w:color="auto"/>
              <w:left w:val="single" w:sz="4" w:space="0" w:color="auto"/>
              <w:bottom w:val="single" w:sz="4" w:space="0" w:color="auto"/>
              <w:right w:val="single" w:sz="4" w:space="0" w:color="auto"/>
            </w:tcBorders>
            <w:vAlign w:val="center"/>
            <w:hideMark/>
          </w:tcPr>
          <w:p w14:paraId="433A2562" w14:textId="77777777" w:rsidR="008C0A68" w:rsidRDefault="008C0A68" w:rsidP="00E41AB9">
            <w:pPr>
              <w:pStyle w:val="Default"/>
              <w:spacing w:line="256" w:lineRule="auto"/>
              <w:jc w:val="center"/>
              <w:rPr>
                <w:sz w:val="20"/>
                <w:szCs w:val="20"/>
              </w:rPr>
            </w:pPr>
            <w:r>
              <w:rPr>
                <w:rFonts w:eastAsia="Times New Roman"/>
                <w:bCs/>
                <w:color w:val="auto"/>
                <w:sz w:val="20"/>
                <w:szCs w:val="20"/>
                <w:lang w:val="en-US"/>
              </w:rPr>
              <w:t>CCC</w:t>
            </w:r>
            <w:r>
              <w:rPr>
                <w:rFonts w:eastAsia="Times New Roman"/>
                <w:bCs/>
                <w:color w:val="auto"/>
                <w:sz w:val="20"/>
                <w:szCs w:val="20"/>
              </w:rPr>
              <w:t xml:space="preserve">|ru|, </w:t>
            </w:r>
            <w:r>
              <w:rPr>
                <w:rFonts w:eastAsia="Times New Roman"/>
                <w:bCs/>
                <w:color w:val="auto"/>
                <w:sz w:val="20"/>
                <w:szCs w:val="20"/>
                <w:lang w:val="en-US"/>
              </w:rPr>
              <w:t>CC</w:t>
            </w:r>
            <w:r>
              <w:rPr>
                <w:rFonts w:eastAsia="Times New Roman"/>
                <w:bCs/>
                <w:color w:val="auto"/>
                <w:sz w:val="20"/>
                <w:szCs w:val="20"/>
              </w:rPr>
              <w:t xml:space="preserve">|ru|, </w:t>
            </w:r>
            <w:r>
              <w:rPr>
                <w:rFonts w:eastAsia="Times New Roman"/>
                <w:bCs/>
                <w:color w:val="auto"/>
                <w:sz w:val="20"/>
                <w:szCs w:val="20"/>
                <w:lang w:val="en-US"/>
              </w:rPr>
              <w:t>C</w:t>
            </w:r>
            <w:r>
              <w:rPr>
                <w:rFonts w:eastAsia="Times New Roman"/>
                <w:bCs/>
                <w:color w:val="auto"/>
                <w:sz w:val="20"/>
                <w:szCs w:val="20"/>
              </w:rPr>
              <w:t>|ru|</w:t>
            </w:r>
          </w:p>
        </w:tc>
      </w:tr>
      <w:tr w:rsidR="008C0A68" w14:paraId="572640F1" w14:textId="77777777" w:rsidTr="00E41AB9">
        <w:trPr>
          <w:trHeight w:val="117"/>
        </w:trPr>
        <w:tc>
          <w:tcPr>
            <w:tcW w:w="626" w:type="pct"/>
            <w:tcBorders>
              <w:top w:val="single" w:sz="4" w:space="0" w:color="auto"/>
              <w:left w:val="single" w:sz="4" w:space="0" w:color="auto"/>
              <w:bottom w:val="single" w:sz="4" w:space="0" w:color="auto"/>
              <w:right w:val="single" w:sz="4" w:space="0" w:color="auto"/>
            </w:tcBorders>
            <w:hideMark/>
          </w:tcPr>
          <w:p w14:paraId="59786939"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IV</w:t>
            </w:r>
          </w:p>
        </w:tc>
        <w:tc>
          <w:tcPr>
            <w:tcW w:w="459" w:type="pct"/>
            <w:tcBorders>
              <w:top w:val="single" w:sz="4" w:space="0" w:color="auto"/>
              <w:left w:val="single" w:sz="4" w:space="0" w:color="auto"/>
              <w:bottom w:val="single" w:sz="4" w:space="0" w:color="auto"/>
              <w:right w:val="single" w:sz="4" w:space="0" w:color="auto"/>
            </w:tcBorders>
            <w:vAlign w:val="center"/>
            <w:hideMark/>
          </w:tcPr>
          <w:p w14:paraId="7B69A39E" w14:textId="77777777" w:rsidR="008C0A68" w:rsidRDefault="008C0A68" w:rsidP="00E41AB9">
            <w:pPr>
              <w:pStyle w:val="Default"/>
              <w:spacing w:line="256" w:lineRule="auto"/>
              <w:jc w:val="center"/>
              <w:rPr>
                <w:sz w:val="20"/>
                <w:szCs w:val="20"/>
              </w:rPr>
            </w:pPr>
            <w:r>
              <w:rPr>
                <w:sz w:val="20"/>
                <w:szCs w:val="20"/>
              </w:rPr>
              <w:t>D</w:t>
            </w:r>
          </w:p>
        </w:tc>
        <w:tc>
          <w:tcPr>
            <w:tcW w:w="459" w:type="pct"/>
            <w:tcBorders>
              <w:top w:val="single" w:sz="4" w:space="0" w:color="auto"/>
              <w:left w:val="single" w:sz="4" w:space="0" w:color="auto"/>
              <w:bottom w:val="single" w:sz="4" w:space="0" w:color="auto"/>
              <w:right w:val="single" w:sz="4" w:space="0" w:color="auto"/>
            </w:tcBorders>
            <w:vAlign w:val="center"/>
            <w:hideMark/>
          </w:tcPr>
          <w:p w14:paraId="1EB6E487" w14:textId="77777777" w:rsidR="008C0A68" w:rsidRDefault="008C0A68" w:rsidP="00E41AB9">
            <w:pPr>
              <w:pStyle w:val="Default"/>
              <w:spacing w:line="256" w:lineRule="auto"/>
              <w:jc w:val="center"/>
              <w:rPr>
                <w:sz w:val="20"/>
                <w:szCs w:val="20"/>
              </w:rPr>
            </w:pPr>
            <w:r>
              <w:rPr>
                <w:sz w:val="20"/>
                <w:szCs w:val="20"/>
              </w:rPr>
              <w:t>D</w:t>
            </w:r>
          </w:p>
        </w:tc>
        <w:tc>
          <w:tcPr>
            <w:tcW w:w="460" w:type="pct"/>
            <w:tcBorders>
              <w:top w:val="single" w:sz="4" w:space="0" w:color="auto"/>
              <w:left w:val="single" w:sz="4" w:space="0" w:color="auto"/>
              <w:bottom w:val="single" w:sz="4" w:space="0" w:color="auto"/>
              <w:right w:val="single" w:sz="4" w:space="0" w:color="auto"/>
            </w:tcBorders>
            <w:vAlign w:val="center"/>
            <w:hideMark/>
          </w:tcPr>
          <w:p w14:paraId="6969D9E5" w14:textId="77777777" w:rsidR="008C0A68" w:rsidRDefault="008C0A68" w:rsidP="00E41AB9">
            <w:pPr>
              <w:pStyle w:val="Default"/>
              <w:spacing w:line="256" w:lineRule="auto"/>
              <w:jc w:val="center"/>
              <w:rPr>
                <w:sz w:val="20"/>
                <w:szCs w:val="20"/>
              </w:rPr>
            </w:pPr>
            <w:r>
              <w:rPr>
                <w:sz w:val="20"/>
                <w:szCs w:val="20"/>
              </w:rPr>
              <w:t>D</w:t>
            </w:r>
          </w:p>
        </w:tc>
        <w:tc>
          <w:tcPr>
            <w:tcW w:w="749" w:type="pct"/>
            <w:tcBorders>
              <w:top w:val="single" w:sz="4" w:space="0" w:color="auto"/>
              <w:left w:val="single" w:sz="4" w:space="0" w:color="auto"/>
              <w:bottom w:val="single" w:sz="4" w:space="0" w:color="auto"/>
              <w:right w:val="single" w:sz="4" w:space="0" w:color="auto"/>
            </w:tcBorders>
            <w:vAlign w:val="center"/>
            <w:hideMark/>
          </w:tcPr>
          <w:p w14:paraId="1CD911A4" w14:textId="77777777" w:rsidR="008C0A68" w:rsidRDefault="008C0A68" w:rsidP="00E41AB9">
            <w:pPr>
              <w:pStyle w:val="Default"/>
              <w:spacing w:line="256" w:lineRule="auto"/>
              <w:jc w:val="center"/>
              <w:rPr>
                <w:sz w:val="20"/>
                <w:szCs w:val="20"/>
              </w:rPr>
            </w:pPr>
            <w:r>
              <w:rPr>
                <w:sz w:val="20"/>
                <w:szCs w:val="20"/>
              </w:rPr>
              <w:t>ruD</w:t>
            </w:r>
          </w:p>
        </w:tc>
        <w:tc>
          <w:tcPr>
            <w:tcW w:w="842" w:type="pct"/>
            <w:tcBorders>
              <w:top w:val="single" w:sz="4" w:space="0" w:color="auto"/>
              <w:left w:val="single" w:sz="4" w:space="0" w:color="auto"/>
              <w:bottom w:val="single" w:sz="4" w:space="0" w:color="auto"/>
              <w:right w:val="single" w:sz="4" w:space="0" w:color="auto"/>
            </w:tcBorders>
            <w:vAlign w:val="center"/>
            <w:hideMark/>
          </w:tcPr>
          <w:p w14:paraId="4E868630" w14:textId="77777777" w:rsidR="008C0A68" w:rsidRDefault="008C0A68" w:rsidP="00E41AB9">
            <w:pPr>
              <w:pStyle w:val="Default"/>
              <w:spacing w:line="256" w:lineRule="auto"/>
              <w:jc w:val="center"/>
              <w:rPr>
                <w:sz w:val="20"/>
                <w:szCs w:val="20"/>
              </w:rPr>
            </w:pPr>
            <w:r>
              <w:rPr>
                <w:sz w:val="20"/>
                <w:szCs w:val="20"/>
              </w:rPr>
              <w:t>D(RU)</w:t>
            </w:r>
          </w:p>
        </w:tc>
        <w:tc>
          <w:tcPr>
            <w:tcW w:w="656" w:type="pct"/>
            <w:tcBorders>
              <w:top w:val="single" w:sz="4" w:space="0" w:color="auto"/>
              <w:left w:val="single" w:sz="4" w:space="0" w:color="auto"/>
              <w:bottom w:val="single" w:sz="4" w:space="0" w:color="auto"/>
              <w:right w:val="single" w:sz="4" w:space="0" w:color="auto"/>
            </w:tcBorders>
            <w:vAlign w:val="center"/>
            <w:hideMark/>
          </w:tcPr>
          <w:p w14:paraId="19D6AF77" w14:textId="77777777" w:rsidR="008C0A68" w:rsidRDefault="008C0A68" w:rsidP="00E41AB9">
            <w:pPr>
              <w:pStyle w:val="Default"/>
              <w:spacing w:line="256" w:lineRule="auto"/>
              <w:jc w:val="center"/>
              <w:rPr>
                <w:sz w:val="20"/>
                <w:szCs w:val="20"/>
              </w:rPr>
            </w:pPr>
            <w:r>
              <w:rPr>
                <w:sz w:val="20"/>
                <w:szCs w:val="20"/>
                <w:lang w:val="en-US"/>
              </w:rPr>
              <w:t>D</w:t>
            </w:r>
          </w:p>
        </w:tc>
        <w:tc>
          <w:tcPr>
            <w:tcW w:w="749" w:type="pct"/>
            <w:tcBorders>
              <w:top w:val="single" w:sz="4" w:space="0" w:color="auto"/>
              <w:left w:val="single" w:sz="4" w:space="0" w:color="auto"/>
              <w:bottom w:val="single" w:sz="4" w:space="0" w:color="auto"/>
              <w:right w:val="single" w:sz="4" w:space="0" w:color="auto"/>
            </w:tcBorders>
            <w:vAlign w:val="center"/>
            <w:hideMark/>
          </w:tcPr>
          <w:p w14:paraId="5C161B68" w14:textId="77777777" w:rsidR="008C0A68" w:rsidRDefault="008C0A68" w:rsidP="00E41AB9">
            <w:pPr>
              <w:pStyle w:val="Default"/>
              <w:spacing w:line="256" w:lineRule="auto"/>
              <w:jc w:val="center"/>
              <w:rPr>
                <w:sz w:val="20"/>
                <w:szCs w:val="20"/>
              </w:rPr>
            </w:pPr>
            <w:r>
              <w:rPr>
                <w:rFonts w:eastAsia="Times New Roman"/>
                <w:bCs/>
                <w:color w:val="auto"/>
                <w:sz w:val="20"/>
                <w:szCs w:val="20"/>
                <w:lang w:val="en-US"/>
              </w:rPr>
              <w:t>RD</w:t>
            </w:r>
            <w:r>
              <w:rPr>
                <w:rFonts w:eastAsia="Times New Roman"/>
                <w:bCs/>
                <w:color w:val="auto"/>
                <w:sz w:val="20"/>
                <w:szCs w:val="20"/>
              </w:rPr>
              <w:t xml:space="preserve">|ru|, </w:t>
            </w:r>
            <w:r>
              <w:rPr>
                <w:rFonts w:eastAsia="Times New Roman"/>
                <w:bCs/>
                <w:color w:val="auto"/>
                <w:sz w:val="20"/>
                <w:szCs w:val="20"/>
                <w:lang w:val="en-US"/>
              </w:rPr>
              <w:t>SD</w:t>
            </w:r>
            <w:r>
              <w:rPr>
                <w:rFonts w:eastAsia="Times New Roman"/>
                <w:bCs/>
                <w:color w:val="auto"/>
                <w:sz w:val="20"/>
                <w:szCs w:val="20"/>
              </w:rPr>
              <w:t xml:space="preserve">|ru|, </w:t>
            </w:r>
            <w:r>
              <w:rPr>
                <w:rFonts w:eastAsia="Times New Roman"/>
                <w:bCs/>
                <w:color w:val="auto"/>
                <w:sz w:val="20"/>
                <w:szCs w:val="20"/>
                <w:lang w:val="en-US"/>
              </w:rPr>
              <w:t>D</w:t>
            </w:r>
            <w:r>
              <w:rPr>
                <w:rFonts w:eastAsia="Times New Roman"/>
                <w:bCs/>
                <w:color w:val="auto"/>
                <w:sz w:val="20"/>
                <w:szCs w:val="20"/>
              </w:rPr>
              <w:t>|ru|</w:t>
            </w:r>
          </w:p>
        </w:tc>
      </w:tr>
    </w:tbl>
    <w:p w14:paraId="7196476C" w14:textId="77777777" w:rsidR="008C0A68" w:rsidRDefault="008C0A68" w:rsidP="008C0A68">
      <w:pPr>
        <w:pStyle w:val="a7"/>
        <w:tabs>
          <w:tab w:val="left" w:pos="709"/>
        </w:tabs>
        <w:autoSpaceDE w:val="0"/>
        <w:autoSpaceDN w:val="0"/>
        <w:adjustRightInd w:val="0"/>
        <w:spacing w:line="300" w:lineRule="auto"/>
        <w:ind w:left="709"/>
        <w:jc w:val="both"/>
        <w:rPr>
          <w:rFonts w:ascii="Times New Roman" w:hAnsi="Times New Roman"/>
          <w:sz w:val="24"/>
          <w:szCs w:val="24"/>
        </w:rPr>
      </w:pPr>
    </w:p>
    <w:p w14:paraId="2D3EED53" w14:textId="77777777" w:rsidR="008C0A68" w:rsidRDefault="008C0A68" w:rsidP="008C0A68">
      <w:pPr>
        <w:pStyle w:val="a7"/>
        <w:tabs>
          <w:tab w:val="left" w:pos="709"/>
        </w:tabs>
        <w:autoSpaceDE w:val="0"/>
        <w:autoSpaceDN w:val="0"/>
        <w:adjustRightInd w:val="0"/>
        <w:spacing w:after="120" w:line="360" w:lineRule="auto"/>
        <w:ind w:left="0"/>
        <w:jc w:val="both"/>
        <w:rPr>
          <w:rFonts w:ascii="Times New Roman" w:hAnsi="Times New Roman"/>
          <w:sz w:val="24"/>
          <w:szCs w:val="24"/>
        </w:rPr>
      </w:pPr>
      <w:r>
        <w:rPr>
          <w:rFonts w:ascii="Times New Roman" w:hAnsi="Times New Roman"/>
          <w:sz w:val="24"/>
          <w:szCs w:val="24"/>
        </w:rPr>
        <w:tab/>
        <w:t xml:space="preserve">При отсутствии внешнего кредитного рейтинга контрагента, но наличии копии бухгалтерской отчетности контрагента, необходимой для определения внутреннего кредитного рейтинга контрагента в соответствии с п. 5.2 «Определение внутреннего кредитного рейтинга контрагента», определяется внутренний кредитный рейтинг контрагента. </w:t>
      </w:r>
    </w:p>
    <w:p w14:paraId="622362FD" w14:textId="77777777" w:rsidR="008C0A68" w:rsidRDefault="008C0A68" w:rsidP="008C0A68">
      <w:pPr>
        <w:pStyle w:val="a7"/>
        <w:tabs>
          <w:tab w:val="left" w:pos="709"/>
        </w:tabs>
        <w:autoSpaceDE w:val="0"/>
        <w:autoSpaceDN w:val="0"/>
        <w:adjustRightInd w:val="0"/>
        <w:spacing w:after="120" w:line="360" w:lineRule="auto"/>
        <w:ind w:left="0"/>
        <w:jc w:val="both"/>
        <w:rPr>
          <w:rFonts w:ascii="Times New Roman" w:hAnsi="Times New Roman"/>
          <w:sz w:val="24"/>
          <w:szCs w:val="24"/>
        </w:rPr>
      </w:pPr>
    </w:p>
    <w:p w14:paraId="02997BF3" w14:textId="77777777" w:rsidR="008C0A68" w:rsidRDefault="008C0A68" w:rsidP="004872F3">
      <w:pPr>
        <w:pStyle w:val="a7"/>
        <w:keepLines/>
        <w:numPr>
          <w:ilvl w:val="1"/>
          <w:numId w:val="31"/>
        </w:numPr>
        <w:spacing w:after="0" w:line="360" w:lineRule="auto"/>
        <w:ind w:left="709" w:hanging="709"/>
        <w:rPr>
          <w:rFonts w:ascii="Times New Roman" w:hAnsi="Times New Roman"/>
          <w:b/>
          <w:sz w:val="24"/>
          <w:szCs w:val="24"/>
        </w:rPr>
      </w:pPr>
      <w:r>
        <w:rPr>
          <w:rFonts w:ascii="Times New Roman" w:hAnsi="Times New Roman"/>
          <w:b/>
          <w:sz w:val="24"/>
          <w:szCs w:val="24"/>
        </w:rPr>
        <w:t>Определение внутреннего кредитного рейтинга контрагента</w:t>
      </w:r>
    </w:p>
    <w:p w14:paraId="5534CC4D" w14:textId="77777777" w:rsidR="008C0A68" w:rsidRDefault="008C0A68" w:rsidP="008C0A68">
      <w:pPr>
        <w:spacing w:line="360" w:lineRule="auto"/>
        <w:ind w:firstLine="709"/>
        <w:jc w:val="both"/>
        <w:rPr>
          <w:rFonts w:eastAsia="MS Mincho"/>
          <w:szCs w:val="24"/>
        </w:rPr>
      </w:pPr>
      <w:r>
        <w:rPr>
          <w:rFonts w:eastAsia="MS Mincho"/>
          <w:szCs w:val="24"/>
        </w:rPr>
        <w:t>Внутренний кредитный рейтинг контрагента устанавливается на основании коэффициента кредитоспособности (КК) контрагента - юридического лица (ООО, ОАО, АО), который формируется при оценке финансового положения контрагента и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14:paraId="658E9A90" w14:textId="77777777" w:rsidR="008C0A68" w:rsidRDefault="008C0A68" w:rsidP="008C0A68">
      <w:pPr>
        <w:spacing w:line="360" w:lineRule="auto"/>
        <w:ind w:firstLine="709"/>
        <w:jc w:val="both"/>
        <w:rPr>
          <w:rFonts w:eastAsia="MS Mincho"/>
          <w:szCs w:val="24"/>
        </w:rPr>
      </w:pPr>
      <w:r>
        <w:rPr>
          <w:rFonts w:eastAsia="MS Mincho"/>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14:paraId="2ACC6912" w14:textId="77777777" w:rsidR="008C0A68" w:rsidRDefault="008C0A68" w:rsidP="008C0A68">
      <w:pPr>
        <w:spacing w:line="360" w:lineRule="auto"/>
        <w:ind w:firstLine="709"/>
        <w:jc w:val="both"/>
        <w:rPr>
          <w:rFonts w:eastAsia="MS Mincho"/>
          <w:szCs w:val="24"/>
        </w:rPr>
      </w:pPr>
      <w:r>
        <w:rPr>
          <w:rFonts w:eastAsia="MS Mincho"/>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14:paraId="7EE79A72" w14:textId="77777777" w:rsidR="008C0A68" w:rsidRDefault="008C0A68" w:rsidP="008C0A68">
      <w:pPr>
        <w:spacing w:line="360" w:lineRule="auto"/>
        <w:ind w:firstLine="709"/>
        <w:jc w:val="both"/>
        <w:rPr>
          <w:rFonts w:eastAsia="MS Mincho"/>
          <w:szCs w:val="24"/>
        </w:rPr>
      </w:pPr>
      <w:r>
        <w:rPr>
          <w:rFonts w:eastAsia="MS Mincho"/>
          <w:szCs w:val="24"/>
        </w:rPr>
        <w:t xml:space="preserve">Для расчета используется последняя (составленная на дату, наиболее близкую к дате расчета СЧА) квартальная/годовая финансовая отчетность. </w:t>
      </w:r>
    </w:p>
    <w:p w14:paraId="161D0F7D" w14:textId="77777777" w:rsidR="008C0A68" w:rsidRDefault="008C0A68" w:rsidP="008C0A68">
      <w:pPr>
        <w:spacing w:line="360" w:lineRule="auto"/>
        <w:ind w:firstLine="709"/>
        <w:jc w:val="both"/>
        <w:rPr>
          <w:rFonts w:eastAsia="MS Mincho"/>
          <w:szCs w:val="24"/>
        </w:rPr>
      </w:pPr>
      <w:r>
        <w:rPr>
          <w:rFonts w:eastAsia="MS Mincho"/>
          <w:szCs w:val="24"/>
        </w:rPr>
        <w:t>Коэффициент кредитоспособности контрагента определяется по формуле:</w:t>
      </w:r>
    </w:p>
    <w:p w14:paraId="73E7DC7D" w14:textId="77777777" w:rsidR="008C0A68" w:rsidRDefault="008C0A68" w:rsidP="008C0A68">
      <w:pPr>
        <w:spacing w:line="360" w:lineRule="auto"/>
        <w:jc w:val="right"/>
        <w:rPr>
          <w:rFonts w:eastAsia="Calibri"/>
          <w:bCs/>
          <w:szCs w:val="24"/>
        </w:rPr>
      </w:pPr>
      <m:oMath>
        <m:r>
          <w:rPr>
            <w:rFonts w:ascii="Cambria Math" w:hAnsi="Cambria Math"/>
            <w:szCs w:val="24"/>
          </w:rPr>
          <m:t>КК=</m:t>
        </m:r>
        <m:nary>
          <m:naryPr>
            <m:chr m:val="∑"/>
            <m:limLoc m:val="undOvr"/>
            <m:ctrlPr>
              <w:rPr>
                <w:rFonts w:ascii="Cambria Math" w:eastAsia="Calibri" w:hAnsi="Cambria Math"/>
                <w:bCs/>
                <w:i/>
                <w:szCs w:val="24"/>
                <w:lang w:eastAsia="en-US"/>
              </w:rPr>
            </m:ctrlPr>
          </m:naryPr>
          <m:sub>
            <m:r>
              <w:rPr>
                <w:rFonts w:ascii="Cambria Math" w:hAnsi="Cambria Math"/>
                <w:szCs w:val="24"/>
              </w:rPr>
              <m:t>i=1</m:t>
            </m:r>
          </m:sub>
          <m:sup>
            <m:r>
              <w:rPr>
                <w:rFonts w:ascii="Cambria Math" w:hAnsi="Cambria Math"/>
                <w:szCs w:val="24"/>
              </w:rPr>
              <m:t>9</m:t>
            </m:r>
          </m:sup>
          <m:e>
            <m:sSub>
              <m:sSubPr>
                <m:ctrlPr>
                  <w:rPr>
                    <w:rFonts w:ascii="Cambria Math" w:eastAsia="Calibri" w:hAnsi="Cambria Math"/>
                    <w:bCs/>
                    <w:i/>
                    <w:szCs w:val="24"/>
                    <w:lang w:val="en-US" w:eastAsia="en-US"/>
                  </w:rPr>
                </m:ctrlPr>
              </m:sSubPr>
              <m:e>
                <m:r>
                  <w:rPr>
                    <w:rFonts w:ascii="Cambria Math" w:hAnsi="Cambria Math"/>
                    <w:szCs w:val="24"/>
                    <w:lang w:val="en-US"/>
                  </w:rPr>
                  <m:t>B</m:t>
                </m:r>
              </m:e>
              <m:sub>
                <m:r>
                  <w:rPr>
                    <w:rFonts w:ascii="Cambria Math" w:hAnsi="Cambria Math"/>
                    <w:szCs w:val="24"/>
                    <w:lang w:val="en-US"/>
                  </w:rPr>
                  <m:t>i</m:t>
                </m:r>
              </m:sub>
            </m:sSub>
          </m:e>
        </m:nary>
        <m:r>
          <w:rPr>
            <w:rFonts w:ascii="Cambria Math" w:hAnsi="Cambria Math"/>
            <w:szCs w:val="24"/>
          </w:rPr>
          <m:t>*</m:t>
        </m:r>
        <m:sSub>
          <m:sSubPr>
            <m:ctrlPr>
              <w:rPr>
                <w:rFonts w:ascii="Cambria Math" w:eastAsia="Calibri" w:hAnsi="Cambria Math"/>
                <w:bCs/>
                <w:i/>
                <w:szCs w:val="24"/>
                <w:lang w:eastAsia="en-US"/>
              </w:rPr>
            </m:ctrlPr>
          </m:sSubPr>
          <m:e>
            <m:r>
              <w:rPr>
                <w:rFonts w:ascii="Cambria Math" w:hAnsi="Cambria Math"/>
                <w:szCs w:val="24"/>
              </w:rPr>
              <m:t>P</m:t>
            </m:r>
          </m:e>
          <m:sub>
            <m:r>
              <w:rPr>
                <w:rFonts w:ascii="Cambria Math" w:hAnsi="Cambria Math"/>
                <w:szCs w:val="24"/>
              </w:rPr>
              <m:t>i</m:t>
            </m:r>
          </m:sub>
        </m:sSub>
      </m:oMath>
      <w:r>
        <w:rPr>
          <w:bCs/>
          <w:szCs w:val="24"/>
        </w:rPr>
        <w:t>,</w:t>
      </w:r>
      <w:r>
        <w:rPr>
          <w:bCs/>
          <w:szCs w:val="24"/>
        </w:rPr>
        <w:tab/>
      </w:r>
      <w:r>
        <w:rPr>
          <w:bCs/>
          <w:szCs w:val="24"/>
        </w:rPr>
        <w:tab/>
      </w:r>
      <w:r>
        <w:rPr>
          <w:bCs/>
          <w:szCs w:val="24"/>
        </w:rPr>
        <w:tab/>
      </w:r>
      <w:r>
        <w:rPr>
          <w:bCs/>
          <w:szCs w:val="24"/>
        </w:rPr>
        <w:tab/>
      </w:r>
      <w:r>
        <w:rPr>
          <w:bCs/>
          <w:szCs w:val="24"/>
        </w:rPr>
        <w:tab/>
      </w:r>
      <w:r>
        <w:rPr>
          <w:bCs/>
          <w:szCs w:val="24"/>
        </w:rPr>
        <w:tab/>
        <w:t>(2)</w:t>
      </w:r>
    </w:p>
    <w:p w14:paraId="21029C73" w14:textId="77777777" w:rsidR="008C0A68" w:rsidRDefault="008C0A68" w:rsidP="008C0A68">
      <w:pPr>
        <w:spacing w:line="360" w:lineRule="auto"/>
        <w:ind w:firstLine="709"/>
        <w:jc w:val="both"/>
        <w:rPr>
          <w:rFonts w:eastAsia="MS Mincho"/>
          <w:szCs w:val="24"/>
        </w:rPr>
      </w:pPr>
      <w:r>
        <w:rPr>
          <w:rFonts w:eastAsia="MS Mincho"/>
          <w:szCs w:val="24"/>
        </w:rPr>
        <w:t>где</w:t>
      </w:r>
    </w:p>
    <w:p w14:paraId="7C38B720" w14:textId="77777777" w:rsidR="008C0A68" w:rsidRDefault="002B470C" w:rsidP="008C0A68">
      <w:pPr>
        <w:spacing w:line="360" w:lineRule="auto"/>
        <w:ind w:firstLine="709"/>
        <w:jc w:val="both"/>
        <w:rPr>
          <w:rFonts w:eastAsia="MS Mincho"/>
          <w:szCs w:val="24"/>
        </w:rPr>
      </w:pPr>
      <m:oMath>
        <m:sSub>
          <m:sSubPr>
            <m:ctrlPr>
              <w:rPr>
                <w:rFonts w:ascii="Cambria Math" w:eastAsia="MS Mincho" w:hAnsi="Cambria Math"/>
                <w:szCs w:val="24"/>
                <w:lang w:eastAsia="en-US"/>
              </w:rPr>
            </m:ctrlPr>
          </m:sSubPr>
          <m:e>
            <m:r>
              <m:rPr>
                <m:sty m:val="p"/>
              </m:rPr>
              <w:rPr>
                <w:rFonts w:ascii="Cambria Math" w:eastAsia="MS Mincho" w:hAnsi="Cambria Math"/>
                <w:szCs w:val="24"/>
              </w:rPr>
              <m:t>B</m:t>
            </m:r>
          </m:e>
          <m:sub>
            <m:r>
              <m:rPr>
                <m:sty m:val="p"/>
              </m:rPr>
              <w:rPr>
                <w:rFonts w:ascii="Cambria Math" w:eastAsia="MS Mincho" w:hAnsi="Cambria Math"/>
                <w:szCs w:val="24"/>
              </w:rPr>
              <m:t>i</m:t>
            </m:r>
          </m:sub>
        </m:sSub>
      </m:oMath>
      <w:r w:rsidR="008C0A68">
        <w:rPr>
          <w:rFonts w:eastAsia="MS Mincho"/>
          <w:szCs w:val="24"/>
        </w:rPr>
        <w:t xml:space="preserve"> – баллы в соответствии со значением коэффициента,</w:t>
      </w:r>
    </w:p>
    <w:p w14:paraId="26D62E2E" w14:textId="77777777" w:rsidR="008C0A68" w:rsidRDefault="002B470C" w:rsidP="008C0A68">
      <w:pPr>
        <w:spacing w:line="360" w:lineRule="auto"/>
        <w:ind w:firstLine="709"/>
        <w:jc w:val="both"/>
        <w:rPr>
          <w:rFonts w:eastAsia="MS Mincho"/>
          <w:szCs w:val="24"/>
        </w:rPr>
      </w:pPr>
      <m:oMath>
        <m:sSub>
          <m:sSubPr>
            <m:ctrlPr>
              <w:rPr>
                <w:rFonts w:ascii="Cambria Math" w:eastAsia="MS Mincho" w:hAnsi="Cambria Math"/>
                <w:szCs w:val="24"/>
                <w:lang w:eastAsia="en-US"/>
              </w:rPr>
            </m:ctrlPr>
          </m:sSubPr>
          <m:e>
            <m:r>
              <m:rPr>
                <m:sty m:val="p"/>
              </m:rPr>
              <w:rPr>
                <w:rFonts w:ascii="Cambria Math" w:eastAsia="MS Mincho" w:hAnsi="Cambria Math"/>
                <w:szCs w:val="24"/>
              </w:rPr>
              <m:t>P</m:t>
            </m:r>
          </m:e>
          <m:sub>
            <m:r>
              <m:rPr>
                <m:sty m:val="p"/>
              </m:rPr>
              <w:rPr>
                <w:rFonts w:ascii="Cambria Math" w:eastAsia="MS Mincho" w:hAnsi="Cambria Math"/>
                <w:szCs w:val="24"/>
              </w:rPr>
              <m:t>i</m:t>
            </m:r>
          </m:sub>
        </m:sSub>
      </m:oMath>
      <w:r w:rsidR="008C0A68">
        <w:rPr>
          <w:rFonts w:eastAsia="MS Mincho"/>
          <w:szCs w:val="24"/>
        </w:rPr>
        <w:t xml:space="preserve"> – вес коэффициента.</w:t>
      </w:r>
    </w:p>
    <w:p w14:paraId="01B64F64" w14:textId="77777777" w:rsidR="008C0A68" w:rsidRDefault="008C0A68" w:rsidP="008C0A68">
      <w:pPr>
        <w:spacing w:line="360" w:lineRule="auto"/>
        <w:ind w:firstLine="709"/>
        <w:jc w:val="both"/>
        <w:rPr>
          <w:rFonts w:eastAsia="MS Mincho"/>
          <w:b/>
          <w:i/>
          <w:szCs w:val="24"/>
        </w:rPr>
      </w:pPr>
      <w:r>
        <w:rPr>
          <w:rFonts w:eastAsia="MS Mincho"/>
          <w:b/>
          <w:i/>
          <w:szCs w:val="24"/>
        </w:rPr>
        <w:t>Значение коэффициента кредитоспособности</w:t>
      </w:r>
      <w:r>
        <w:rPr>
          <w:rFonts w:eastAsia="MS Mincho"/>
          <w:b/>
          <w:szCs w:val="24"/>
        </w:rPr>
        <w:t xml:space="preserve"> </w:t>
      </w:r>
      <w:r>
        <w:rPr>
          <w:rFonts w:eastAsia="MS Mincho"/>
          <w:b/>
          <w:i/>
          <w:szCs w:val="24"/>
          <w:lang w:val="en-US"/>
        </w:rPr>
        <w:t>KK</w:t>
      </w:r>
      <w:r w:rsidRPr="009052E7">
        <w:rPr>
          <w:rFonts w:eastAsia="MS Mincho"/>
          <w:b/>
          <w:szCs w:val="24"/>
        </w:rPr>
        <w:t xml:space="preserve"> </w:t>
      </w:r>
      <w:r>
        <w:rPr>
          <w:rFonts w:eastAsia="MS Mincho"/>
          <w:b/>
          <w:i/>
          <w:szCs w:val="24"/>
        </w:rPr>
        <w:t>округляется до целого числа по математическим правилам.</w:t>
      </w:r>
    </w:p>
    <w:p w14:paraId="4A10570A" w14:textId="77777777" w:rsidR="008C0A68" w:rsidRDefault="008C0A68" w:rsidP="008C0A68">
      <w:pPr>
        <w:spacing w:line="360" w:lineRule="auto"/>
        <w:ind w:firstLine="709"/>
        <w:jc w:val="both"/>
        <w:rPr>
          <w:rFonts w:eastAsia="MS Mincho"/>
          <w:szCs w:val="24"/>
        </w:rPr>
      </w:pPr>
      <w:r>
        <w:rPr>
          <w:rFonts w:eastAsia="MS Mincho"/>
          <w:szCs w:val="24"/>
        </w:rPr>
        <w:t>В зависимости от типа организации в Таблицах 2.1 и 2.2 приводятся используемые в расчете коэффициенты и их веса.</w:t>
      </w:r>
    </w:p>
    <w:p w14:paraId="6FE7FED0" w14:textId="77777777" w:rsidR="008C0A68" w:rsidRDefault="008C0A68" w:rsidP="008C0A68">
      <w:pPr>
        <w:ind w:firstLine="567"/>
        <w:jc w:val="right"/>
        <w:rPr>
          <w:rFonts w:eastAsia="Calibri"/>
          <w:szCs w:val="24"/>
        </w:rPr>
      </w:pPr>
      <w:r>
        <w:rPr>
          <w:szCs w:val="24"/>
        </w:rPr>
        <w:t>Таблица 2.1. Коэффициенты для юридических лиц</w:t>
      </w:r>
    </w:p>
    <w:p w14:paraId="32275CC9" w14:textId="77777777" w:rsidR="008C0A68" w:rsidRDefault="008C0A68" w:rsidP="008C0A68">
      <w:pPr>
        <w:ind w:firstLine="567"/>
        <w:jc w:val="right"/>
        <w:rPr>
          <w:szCs w:val="24"/>
        </w:rPr>
      </w:pPr>
      <w:r>
        <w:rPr>
          <w:szCs w:val="24"/>
        </w:rPr>
        <w:lastRenderedPageBreak/>
        <w:t>(за исключением кредитных организаций и некредитных финансовых организаций)</w:t>
      </w:r>
    </w:p>
    <w:tbl>
      <w:tblPr>
        <w:tblpPr w:leftFromText="180" w:rightFromText="180" w:bottomFromText="16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750"/>
        <w:gridCol w:w="1522"/>
        <w:gridCol w:w="1522"/>
        <w:gridCol w:w="1522"/>
        <w:gridCol w:w="786"/>
        <w:gridCol w:w="1502"/>
      </w:tblGrid>
      <w:tr w:rsidR="008C0A68" w14:paraId="19B4D06F" w14:textId="77777777" w:rsidTr="00E41AB9">
        <w:tc>
          <w:tcPr>
            <w:tcW w:w="228" w:type="pct"/>
            <w:vMerge w:val="restart"/>
            <w:tcBorders>
              <w:top w:val="single" w:sz="4" w:space="0" w:color="auto"/>
              <w:left w:val="single" w:sz="4" w:space="0" w:color="auto"/>
              <w:bottom w:val="single" w:sz="4" w:space="0" w:color="auto"/>
              <w:right w:val="single" w:sz="4" w:space="0" w:color="auto"/>
            </w:tcBorders>
            <w:vAlign w:val="center"/>
            <w:hideMark/>
          </w:tcPr>
          <w:p w14:paraId="2B1F622A" w14:textId="77777777" w:rsidR="008C0A68" w:rsidRDefault="008C0A68" w:rsidP="00E41AB9">
            <w:pPr>
              <w:jc w:val="center"/>
              <w:rPr>
                <w:rFonts w:eastAsia="MS Mincho"/>
                <w:bCs/>
                <w:sz w:val="20"/>
              </w:rPr>
            </w:pPr>
            <w:r>
              <w:rPr>
                <w:rFonts w:eastAsia="MS Mincho"/>
                <w:bCs/>
                <w:sz w:val="20"/>
              </w:rPr>
              <w:t>№</w:t>
            </w:r>
          </w:p>
        </w:tc>
        <w:tc>
          <w:tcPr>
            <w:tcW w:w="1296" w:type="pct"/>
            <w:vMerge w:val="restart"/>
            <w:tcBorders>
              <w:top w:val="single" w:sz="4" w:space="0" w:color="auto"/>
              <w:left w:val="single" w:sz="4" w:space="0" w:color="auto"/>
              <w:bottom w:val="single" w:sz="4" w:space="0" w:color="auto"/>
              <w:right w:val="single" w:sz="4" w:space="0" w:color="auto"/>
            </w:tcBorders>
            <w:vAlign w:val="center"/>
            <w:hideMark/>
          </w:tcPr>
          <w:p w14:paraId="6E05A23F" w14:textId="77777777" w:rsidR="008C0A68" w:rsidRDefault="008C0A68" w:rsidP="00E41AB9">
            <w:pPr>
              <w:jc w:val="center"/>
              <w:rPr>
                <w:rFonts w:eastAsia="MS Mincho"/>
                <w:bCs/>
                <w:sz w:val="20"/>
              </w:rPr>
            </w:pPr>
            <w:r>
              <w:rPr>
                <w:rFonts w:eastAsia="MS Mincho"/>
                <w:bCs/>
                <w:sz w:val="20"/>
              </w:rPr>
              <w:t>Наименование</w:t>
            </w:r>
          </w:p>
          <w:p w14:paraId="692E458B" w14:textId="77777777" w:rsidR="008C0A68" w:rsidRDefault="008C0A68" w:rsidP="00E41AB9">
            <w:pPr>
              <w:jc w:val="center"/>
              <w:rPr>
                <w:rFonts w:eastAsia="MS Mincho"/>
                <w:bCs/>
                <w:sz w:val="20"/>
              </w:rPr>
            </w:pPr>
            <w:r>
              <w:rPr>
                <w:rFonts w:eastAsia="MS Mincho"/>
                <w:bCs/>
                <w:sz w:val="20"/>
              </w:rPr>
              <w:t>коэффициента</w:t>
            </w:r>
          </w:p>
        </w:tc>
        <w:tc>
          <w:tcPr>
            <w:tcW w:w="2301" w:type="pct"/>
            <w:gridSpan w:val="3"/>
            <w:tcBorders>
              <w:top w:val="single" w:sz="4" w:space="0" w:color="auto"/>
              <w:left w:val="single" w:sz="4" w:space="0" w:color="auto"/>
              <w:bottom w:val="single" w:sz="4" w:space="0" w:color="auto"/>
              <w:right w:val="single" w:sz="4" w:space="0" w:color="auto"/>
            </w:tcBorders>
            <w:vAlign w:val="center"/>
            <w:hideMark/>
          </w:tcPr>
          <w:p w14:paraId="2F2ECCAC" w14:textId="77777777" w:rsidR="008C0A68" w:rsidRDefault="008C0A68" w:rsidP="00E41AB9">
            <w:pPr>
              <w:jc w:val="center"/>
              <w:rPr>
                <w:rFonts w:eastAsia="Calibri"/>
                <w:bCs/>
                <w:spacing w:val="-3"/>
                <w:sz w:val="20"/>
              </w:rPr>
            </w:pPr>
            <w:r>
              <w:rPr>
                <w:rFonts w:eastAsia="MS Mincho"/>
                <w:bCs/>
                <w:sz w:val="20"/>
              </w:rPr>
              <w:t>Значение</w:t>
            </w:r>
          </w:p>
        </w:tc>
        <w:tc>
          <w:tcPr>
            <w:tcW w:w="421" w:type="pct"/>
            <w:vMerge w:val="restart"/>
            <w:tcBorders>
              <w:top w:val="single" w:sz="4" w:space="0" w:color="auto"/>
              <w:left w:val="single" w:sz="4" w:space="0" w:color="auto"/>
              <w:bottom w:val="single" w:sz="4" w:space="0" w:color="auto"/>
              <w:right w:val="single" w:sz="4" w:space="0" w:color="auto"/>
            </w:tcBorders>
            <w:vAlign w:val="center"/>
            <w:hideMark/>
          </w:tcPr>
          <w:p w14:paraId="316EC0E5" w14:textId="77777777" w:rsidR="008C0A68" w:rsidRDefault="008C0A68" w:rsidP="00E41AB9">
            <w:pPr>
              <w:jc w:val="center"/>
              <w:rPr>
                <w:bCs/>
                <w:spacing w:val="-3"/>
                <w:sz w:val="20"/>
              </w:rPr>
            </w:pPr>
            <w:r>
              <w:rPr>
                <w:bCs/>
                <w:spacing w:val="-3"/>
                <w:sz w:val="20"/>
              </w:rPr>
              <w:t>Баллы,</w:t>
            </w:r>
          </w:p>
          <w:p w14:paraId="00EAE5F1" w14:textId="77777777" w:rsidR="008C0A68" w:rsidRDefault="008C0A68" w:rsidP="00E41AB9">
            <w:pPr>
              <w:jc w:val="center"/>
              <w:rPr>
                <w:bCs/>
                <w:spacing w:val="-3"/>
                <w:sz w:val="20"/>
              </w:rPr>
            </w:pPr>
            <w:r>
              <w:rPr>
                <w:bCs/>
                <w:sz w:val="20"/>
                <w:lang w:val="en-US"/>
              </w:rPr>
              <w:t>Bi</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4E83EC5F" w14:textId="77777777" w:rsidR="008C0A68" w:rsidRDefault="008C0A68" w:rsidP="00E41AB9">
            <w:pPr>
              <w:jc w:val="center"/>
              <w:rPr>
                <w:bCs/>
                <w:sz w:val="20"/>
              </w:rPr>
            </w:pPr>
            <w:r>
              <w:rPr>
                <w:bCs/>
                <w:sz w:val="20"/>
              </w:rPr>
              <w:t>Вес коэффициента,</w:t>
            </w:r>
          </w:p>
          <w:p w14:paraId="360FDD98" w14:textId="77777777" w:rsidR="008C0A68" w:rsidRDefault="008C0A68" w:rsidP="00E41AB9">
            <w:pPr>
              <w:jc w:val="center"/>
              <w:rPr>
                <w:rFonts w:eastAsia="MS Mincho"/>
                <w:bCs/>
                <w:sz w:val="20"/>
              </w:rPr>
            </w:pPr>
            <w:r>
              <w:rPr>
                <w:bCs/>
                <w:smallCaps/>
                <w:sz w:val="20"/>
                <w:lang w:val="en-US"/>
              </w:rPr>
              <w:t>P</w:t>
            </w:r>
            <w:r>
              <w:rPr>
                <w:bCs/>
                <w:sz w:val="20"/>
                <w:lang w:val="en-US"/>
              </w:rPr>
              <w:t>i</w:t>
            </w:r>
          </w:p>
        </w:tc>
      </w:tr>
      <w:tr w:rsidR="008C0A68" w14:paraId="626AA100" w14:textId="77777777" w:rsidTr="00E41AB9">
        <w:tc>
          <w:tcPr>
            <w:tcW w:w="0" w:type="auto"/>
            <w:vMerge/>
            <w:tcBorders>
              <w:top w:val="single" w:sz="4" w:space="0" w:color="auto"/>
              <w:left w:val="single" w:sz="4" w:space="0" w:color="auto"/>
              <w:bottom w:val="single" w:sz="4" w:space="0" w:color="auto"/>
              <w:right w:val="single" w:sz="4" w:space="0" w:color="auto"/>
            </w:tcBorders>
            <w:vAlign w:val="center"/>
            <w:hideMark/>
          </w:tcPr>
          <w:p w14:paraId="48ACFF5A" w14:textId="77777777" w:rsidR="008C0A68" w:rsidRDefault="008C0A68" w:rsidP="00E41AB9">
            <w:pPr>
              <w:spacing w:line="256" w:lineRule="auto"/>
              <w:rPr>
                <w:rFonts w:eastAsia="MS Mincho"/>
                <w:bCs/>
                <w:sz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CCEF0C" w14:textId="77777777" w:rsidR="008C0A68" w:rsidRDefault="008C0A68" w:rsidP="00E41AB9">
            <w:pPr>
              <w:spacing w:line="256" w:lineRule="auto"/>
              <w:rPr>
                <w:rFonts w:eastAsia="MS Mincho"/>
                <w:bCs/>
                <w:sz w:val="20"/>
                <w:lang w:eastAsia="en-US"/>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63FB608C" w14:textId="77777777" w:rsidR="008C0A68" w:rsidRDefault="008C0A68" w:rsidP="00E41AB9">
            <w:pPr>
              <w:jc w:val="center"/>
              <w:rPr>
                <w:rFonts w:eastAsia="MS Mincho"/>
                <w:bCs/>
                <w:sz w:val="20"/>
              </w:rPr>
            </w:pPr>
            <w:r>
              <w:rPr>
                <w:rFonts w:eastAsia="MS Mincho"/>
                <w:bCs/>
                <w:sz w:val="20"/>
              </w:rPr>
              <w:t>Все отрасли</w:t>
            </w:r>
          </w:p>
        </w:tc>
        <w:tc>
          <w:tcPr>
            <w:tcW w:w="809" w:type="pct"/>
            <w:tcBorders>
              <w:top w:val="single" w:sz="4" w:space="0" w:color="auto"/>
              <w:left w:val="single" w:sz="4" w:space="0" w:color="auto"/>
              <w:bottom w:val="single" w:sz="4" w:space="0" w:color="auto"/>
              <w:right w:val="single" w:sz="4" w:space="0" w:color="auto"/>
            </w:tcBorders>
            <w:vAlign w:val="center"/>
            <w:hideMark/>
          </w:tcPr>
          <w:p w14:paraId="3DB3B5BF" w14:textId="77777777" w:rsidR="008C0A68" w:rsidRDefault="008C0A68" w:rsidP="00E41AB9">
            <w:pPr>
              <w:jc w:val="center"/>
              <w:rPr>
                <w:rFonts w:eastAsia="Calibri"/>
                <w:bCs/>
                <w:spacing w:val="-3"/>
                <w:sz w:val="20"/>
              </w:rPr>
            </w:pPr>
            <w:r>
              <w:rPr>
                <w:bCs/>
                <w:spacing w:val="-3"/>
                <w:sz w:val="20"/>
              </w:rPr>
              <w:t>Строительство</w:t>
            </w:r>
          </w:p>
        </w:tc>
        <w:tc>
          <w:tcPr>
            <w:tcW w:w="746" w:type="pct"/>
            <w:tcBorders>
              <w:top w:val="single" w:sz="4" w:space="0" w:color="auto"/>
              <w:left w:val="single" w:sz="4" w:space="0" w:color="auto"/>
              <w:bottom w:val="single" w:sz="4" w:space="0" w:color="auto"/>
              <w:right w:val="single" w:sz="4" w:space="0" w:color="auto"/>
            </w:tcBorders>
            <w:vAlign w:val="center"/>
            <w:hideMark/>
          </w:tcPr>
          <w:p w14:paraId="325046E4" w14:textId="77777777" w:rsidR="008C0A68" w:rsidRDefault="008C0A68" w:rsidP="00E41AB9">
            <w:pPr>
              <w:jc w:val="center"/>
              <w:rPr>
                <w:bCs/>
                <w:spacing w:val="-3"/>
                <w:sz w:val="20"/>
              </w:rPr>
            </w:pPr>
            <w:r>
              <w:rPr>
                <w:bCs/>
                <w:spacing w:val="-3"/>
                <w:sz w:val="20"/>
              </w:rPr>
              <w:t>Сдача в наем и купля продажа недвижимого имущества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C5EE3" w14:textId="77777777" w:rsidR="008C0A68" w:rsidRDefault="008C0A68" w:rsidP="00E41AB9">
            <w:pPr>
              <w:spacing w:line="256" w:lineRule="auto"/>
              <w:rPr>
                <w:rFonts w:eastAsia="Calibri"/>
                <w:bCs/>
                <w:spacing w:val="-3"/>
                <w:sz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0FDEF" w14:textId="77777777" w:rsidR="008C0A68" w:rsidRDefault="008C0A68" w:rsidP="00E41AB9">
            <w:pPr>
              <w:spacing w:line="256" w:lineRule="auto"/>
              <w:rPr>
                <w:rFonts w:eastAsia="MS Mincho"/>
                <w:bCs/>
                <w:sz w:val="20"/>
                <w:lang w:eastAsia="en-US"/>
              </w:rPr>
            </w:pPr>
          </w:p>
        </w:tc>
      </w:tr>
      <w:tr w:rsidR="008C0A68" w14:paraId="75557FC2" w14:textId="77777777" w:rsidTr="00E41AB9">
        <w:trPr>
          <w:cantSplit/>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2FAF5B7C" w14:textId="77777777" w:rsidR="008C0A68" w:rsidRDefault="008C0A68" w:rsidP="00E41AB9">
            <w:pPr>
              <w:rPr>
                <w:bCs/>
                <w:sz w:val="20"/>
              </w:rPr>
            </w:pPr>
            <w:r>
              <w:rPr>
                <w:bCs/>
                <w:sz w:val="20"/>
              </w:rPr>
              <w:t>Показатели финансовой устойчивости (независимости)</w:t>
            </w:r>
          </w:p>
        </w:tc>
      </w:tr>
      <w:tr w:rsidR="008C0A68" w14:paraId="60095C47" w14:textId="77777777" w:rsidTr="00E41AB9">
        <w:trPr>
          <w:cantSplit/>
          <w:trHeight w:val="766"/>
        </w:trPr>
        <w:tc>
          <w:tcPr>
            <w:tcW w:w="228" w:type="pct"/>
            <w:tcBorders>
              <w:top w:val="single" w:sz="4" w:space="0" w:color="auto"/>
              <w:left w:val="single" w:sz="4" w:space="0" w:color="auto"/>
              <w:bottom w:val="single" w:sz="4" w:space="0" w:color="auto"/>
              <w:right w:val="single" w:sz="4" w:space="0" w:color="auto"/>
            </w:tcBorders>
            <w:vAlign w:val="center"/>
            <w:hideMark/>
          </w:tcPr>
          <w:p w14:paraId="6C131BE7" w14:textId="77777777" w:rsidR="008C0A68" w:rsidRDefault="008C0A68" w:rsidP="00E41AB9">
            <w:pPr>
              <w:rPr>
                <w:rFonts w:eastAsia="MS Mincho"/>
                <w:bCs/>
                <w:i/>
                <w:iCs/>
                <w:sz w:val="20"/>
              </w:rPr>
            </w:pPr>
            <w:r>
              <w:rPr>
                <w:rFonts w:eastAsia="MS Mincho"/>
                <w:bCs/>
                <w:i/>
                <w:iCs/>
                <w:sz w:val="20"/>
              </w:rPr>
              <w:t>К1</w:t>
            </w:r>
          </w:p>
        </w:tc>
        <w:tc>
          <w:tcPr>
            <w:tcW w:w="1296" w:type="pct"/>
            <w:tcBorders>
              <w:top w:val="single" w:sz="4" w:space="0" w:color="auto"/>
              <w:left w:val="single" w:sz="4" w:space="0" w:color="auto"/>
              <w:bottom w:val="single" w:sz="4" w:space="0" w:color="auto"/>
              <w:right w:val="single" w:sz="4" w:space="0" w:color="auto"/>
            </w:tcBorders>
            <w:vAlign w:val="center"/>
            <w:hideMark/>
          </w:tcPr>
          <w:p w14:paraId="34225272" w14:textId="77777777" w:rsidR="008C0A68" w:rsidRDefault="008C0A68" w:rsidP="00E41AB9">
            <w:pPr>
              <w:rPr>
                <w:rFonts w:eastAsia="Calibri"/>
                <w:sz w:val="20"/>
              </w:rPr>
            </w:pPr>
            <w:r>
              <w:rPr>
                <w:sz w:val="20"/>
              </w:rPr>
              <w:t>Коэффициент финансовой независимости</w:t>
            </w:r>
          </w:p>
        </w:tc>
        <w:tc>
          <w:tcPr>
            <w:tcW w:w="746" w:type="pct"/>
            <w:tcBorders>
              <w:top w:val="single" w:sz="4" w:space="0" w:color="auto"/>
              <w:left w:val="single" w:sz="4" w:space="0" w:color="auto"/>
              <w:bottom w:val="single" w:sz="4" w:space="0" w:color="auto"/>
              <w:right w:val="single" w:sz="4" w:space="0" w:color="auto"/>
            </w:tcBorders>
            <w:vAlign w:val="center"/>
            <w:hideMark/>
          </w:tcPr>
          <w:p w14:paraId="23C1BE0D" w14:textId="77777777" w:rsidR="008C0A68" w:rsidRDefault="008C0A68" w:rsidP="00E41AB9">
            <w:pPr>
              <w:jc w:val="center"/>
              <w:rPr>
                <w:rFonts w:eastAsia="MS Mincho"/>
                <w:sz w:val="20"/>
              </w:rPr>
            </w:pPr>
            <w:r>
              <w:rPr>
                <w:rFonts w:eastAsia="MS Mincho"/>
                <w:sz w:val="20"/>
              </w:rPr>
              <w:t>свыше 0,3</w:t>
            </w:r>
          </w:p>
          <w:p w14:paraId="5AA4BC02" w14:textId="77777777" w:rsidR="008C0A68" w:rsidRDefault="008C0A68" w:rsidP="00E41AB9">
            <w:pPr>
              <w:jc w:val="center"/>
              <w:rPr>
                <w:rFonts w:eastAsia="MS Mincho"/>
                <w:sz w:val="20"/>
              </w:rPr>
            </w:pPr>
            <w:r>
              <w:rPr>
                <w:rFonts w:eastAsia="MS Mincho"/>
                <w:sz w:val="20"/>
              </w:rPr>
              <w:t>от 0,1 до 0,3</w:t>
            </w:r>
          </w:p>
          <w:p w14:paraId="7CCD76E8" w14:textId="77777777" w:rsidR="008C0A68" w:rsidRDefault="008C0A68" w:rsidP="00E41AB9">
            <w:pPr>
              <w:jc w:val="center"/>
              <w:rPr>
                <w:rFonts w:eastAsia="MS Mincho"/>
                <w:sz w:val="20"/>
              </w:rPr>
            </w:pPr>
            <w:r>
              <w:rPr>
                <w:rFonts w:eastAsia="MS Mincho"/>
                <w:sz w:val="20"/>
              </w:rPr>
              <w:t>от 0 до 0,1</w:t>
            </w:r>
          </w:p>
          <w:p w14:paraId="7157AED8" w14:textId="77777777" w:rsidR="008C0A68" w:rsidRDefault="008C0A68" w:rsidP="00E41AB9">
            <w:pPr>
              <w:jc w:val="center"/>
              <w:rPr>
                <w:rFonts w:eastAsia="MS Mincho"/>
                <w:sz w:val="20"/>
              </w:rPr>
            </w:pPr>
            <w:r>
              <w:rPr>
                <w:rFonts w:eastAsia="MS Mincho"/>
                <w:sz w:val="20"/>
              </w:rPr>
              <w:t>отрицательный</w:t>
            </w:r>
          </w:p>
        </w:tc>
        <w:tc>
          <w:tcPr>
            <w:tcW w:w="809" w:type="pct"/>
            <w:tcBorders>
              <w:top w:val="single" w:sz="4" w:space="0" w:color="auto"/>
              <w:left w:val="single" w:sz="4" w:space="0" w:color="auto"/>
              <w:bottom w:val="single" w:sz="4" w:space="0" w:color="auto"/>
              <w:right w:val="single" w:sz="4" w:space="0" w:color="auto"/>
            </w:tcBorders>
            <w:vAlign w:val="center"/>
            <w:hideMark/>
          </w:tcPr>
          <w:p w14:paraId="4BDB8B61" w14:textId="77777777" w:rsidR="008C0A68" w:rsidRDefault="008C0A68" w:rsidP="00E41AB9">
            <w:pPr>
              <w:jc w:val="center"/>
              <w:rPr>
                <w:rFonts w:eastAsia="MS Mincho"/>
                <w:sz w:val="20"/>
              </w:rPr>
            </w:pPr>
            <w:r>
              <w:rPr>
                <w:rFonts w:eastAsia="MS Mincho"/>
                <w:sz w:val="20"/>
              </w:rPr>
              <w:t>свыше 0,12</w:t>
            </w:r>
          </w:p>
          <w:p w14:paraId="407EEC45" w14:textId="77777777" w:rsidR="008C0A68" w:rsidRDefault="008C0A68" w:rsidP="00E41AB9">
            <w:pPr>
              <w:jc w:val="center"/>
              <w:rPr>
                <w:rFonts w:eastAsia="MS Mincho"/>
                <w:sz w:val="20"/>
              </w:rPr>
            </w:pPr>
            <w:r>
              <w:rPr>
                <w:rFonts w:eastAsia="MS Mincho"/>
                <w:sz w:val="20"/>
              </w:rPr>
              <w:t>от 0,07 до 0,12</w:t>
            </w:r>
          </w:p>
          <w:p w14:paraId="603AD959" w14:textId="77777777" w:rsidR="008C0A68" w:rsidRDefault="008C0A68" w:rsidP="00E41AB9">
            <w:pPr>
              <w:jc w:val="center"/>
              <w:rPr>
                <w:rFonts w:eastAsia="MS Mincho"/>
                <w:sz w:val="20"/>
              </w:rPr>
            </w:pPr>
            <w:r>
              <w:rPr>
                <w:rFonts w:eastAsia="MS Mincho"/>
                <w:sz w:val="20"/>
              </w:rPr>
              <w:t>от 0 до 0,07</w:t>
            </w:r>
          </w:p>
          <w:p w14:paraId="4CB113B5" w14:textId="77777777" w:rsidR="008C0A68" w:rsidRDefault="008C0A68" w:rsidP="00E41AB9">
            <w:pPr>
              <w:jc w:val="center"/>
              <w:rPr>
                <w:rFonts w:eastAsia="MS Mincho"/>
                <w:sz w:val="20"/>
              </w:rPr>
            </w:pPr>
            <w:r>
              <w:rPr>
                <w:rFonts w:eastAsia="MS Mincho"/>
                <w:sz w:val="20"/>
              </w:rPr>
              <w:t>отрицательный</w:t>
            </w:r>
          </w:p>
        </w:tc>
        <w:tc>
          <w:tcPr>
            <w:tcW w:w="746" w:type="pct"/>
            <w:tcBorders>
              <w:top w:val="single" w:sz="4" w:space="0" w:color="auto"/>
              <w:left w:val="single" w:sz="4" w:space="0" w:color="auto"/>
              <w:bottom w:val="single" w:sz="4" w:space="0" w:color="auto"/>
              <w:right w:val="single" w:sz="4" w:space="0" w:color="auto"/>
            </w:tcBorders>
            <w:vAlign w:val="center"/>
            <w:hideMark/>
          </w:tcPr>
          <w:p w14:paraId="404DE191" w14:textId="77777777" w:rsidR="008C0A68" w:rsidRDefault="008C0A68" w:rsidP="00E41AB9">
            <w:pPr>
              <w:jc w:val="center"/>
              <w:rPr>
                <w:rFonts w:eastAsia="MS Mincho"/>
                <w:sz w:val="20"/>
              </w:rPr>
            </w:pPr>
            <w:r>
              <w:rPr>
                <w:rFonts w:eastAsia="MS Mincho"/>
                <w:sz w:val="20"/>
              </w:rPr>
              <w:t>свыше 0,37</w:t>
            </w:r>
          </w:p>
          <w:p w14:paraId="06D35737" w14:textId="77777777" w:rsidR="008C0A68" w:rsidRDefault="008C0A68" w:rsidP="00E41AB9">
            <w:pPr>
              <w:jc w:val="center"/>
              <w:rPr>
                <w:rFonts w:eastAsia="MS Mincho"/>
                <w:sz w:val="20"/>
              </w:rPr>
            </w:pPr>
            <w:r>
              <w:rPr>
                <w:rFonts w:eastAsia="MS Mincho"/>
                <w:sz w:val="20"/>
              </w:rPr>
              <w:t>от 0,22 до 0,37</w:t>
            </w:r>
          </w:p>
          <w:p w14:paraId="74C57CCB" w14:textId="77777777" w:rsidR="008C0A68" w:rsidRDefault="008C0A68" w:rsidP="00E41AB9">
            <w:pPr>
              <w:jc w:val="center"/>
              <w:rPr>
                <w:rFonts w:eastAsia="MS Mincho"/>
                <w:sz w:val="20"/>
              </w:rPr>
            </w:pPr>
            <w:r>
              <w:rPr>
                <w:rFonts w:eastAsia="MS Mincho"/>
                <w:sz w:val="20"/>
              </w:rPr>
              <w:t>от 0 до 0,22</w:t>
            </w:r>
          </w:p>
          <w:p w14:paraId="57517134" w14:textId="77777777" w:rsidR="008C0A68" w:rsidRDefault="008C0A68" w:rsidP="00E41AB9">
            <w:pPr>
              <w:jc w:val="center"/>
              <w:rPr>
                <w:rFonts w:eastAsia="MS Mincho"/>
                <w:sz w:val="20"/>
              </w:rPr>
            </w:pPr>
            <w:r>
              <w:rPr>
                <w:rFonts w:eastAsia="MS Mincho"/>
                <w:sz w:val="20"/>
              </w:rPr>
              <w:t>отрицательный</w:t>
            </w:r>
          </w:p>
        </w:tc>
        <w:tc>
          <w:tcPr>
            <w:tcW w:w="421" w:type="pct"/>
            <w:tcBorders>
              <w:top w:val="single" w:sz="4" w:space="0" w:color="auto"/>
              <w:left w:val="single" w:sz="4" w:space="0" w:color="auto"/>
              <w:bottom w:val="single" w:sz="4" w:space="0" w:color="auto"/>
              <w:right w:val="single" w:sz="4" w:space="0" w:color="auto"/>
            </w:tcBorders>
            <w:vAlign w:val="center"/>
            <w:hideMark/>
          </w:tcPr>
          <w:p w14:paraId="6A70C2A9" w14:textId="77777777" w:rsidR="008C0A68" w:rsidRDefault="008C0A68" w:rsidP="00E41AB9">
            <w:pPr>
              <w:jc w:val="center"/>
              <w:rPr>
                <w:rFonts w:eastAsia="MS Mincho"/>
                <w:sz w:val="20"/>
              </w:rPr>
            </w:pPr>
            <w:r>
              <w:rPr>
                <w:rFonts w:eastAsia="MS Mincho"/>
                <w:sz w:val="20"/>
              </w:rPr>
              <w:t>100</w:t>
            </w:r>
          </w:p>
          <w:p w14:paraId="02E8C762" w14:textId="77777777" w:rsidR="008C0A68" w:rsidRDefault="008C0A68" w:rsidP="00E41AB9">
            <w:pPr>
              <w:jc w:val="center"/>
              <w:rPr>
                <w:rFonts w:eastAsia="MS Mincho"/>
                <w:sz w:val="20"/>
              </w:rPr>
            </w:pPr>
            <w:r>
              <w:rPr>
                <w:rFonts w:eastAsia="MS Mincho"/>
                <w:sz w:val="20"/>
              </w:rPr>
              <w:t>70</w:t>
            </w:r>
          </w:p>
          <w:p w14:paraId="3735A2FD" w14:textId="77777777" w:rsidR="008C0A68" w:rsidRDefault="008C0A68" w:rsidP="00E41AB9">
            <w:pPr>
              <w:jc w:val="center"/>
              <w:rPr>
                <w:rFonts w:eastAsia="MS Mincho"/>
                <w:sz w:val="20"/>
              </w:rPr>
            </w:pPr>
            <w:r>
              <w:rPr>
                <w:rFonts w:eastAsia="MS Mincho"/>
                <w:sz w:val="20"/>
              </w:rPr>
              <w:t>10</w:t>
            </w:r>
          </w:p>
          <w:p w14:paraId="1FBA9A15" w14:textId="77777777" w:rsidR="008C0A68" w:rsidRDefault="008C0A68" w:rsidP="00E41AB9">
            <w:pPr>
              <w:jc w:val="center"/>
              <w:rPr>
                <w:rFonts w:eastAsia="MS Mincho"/>
                <w:sz w:val="20"/>
              </w:rPr>
            </w:pPr>
            <w:r>
              <w:rPr>
                <w:rFonts w:eastAsia="MS Mincho"/>
                <w:sz w:val="20"/>
              </w:rPr>
              <w:t>- 5</w:t>
            </w:r>
          </w:p>
        </w:tc>
        <w:tc>
          <w:tcPr>
            <w:tcW w:w="754" w:type="pct"/>
            <w:tcBorders>
              <w:top w:val="single" w:sz="4" w:space="0" w:color="auto"/>
              <w:left w:val="single" w:sz="4" w:space="0" w:color="auto"/>
              <w:bottom w:val="single" w:sz="4" w:space="0" w:color="auto"/>
              <w:right w:val="single" w:sz="4" w:space="0" w:color="auto"/>
            </w:tcBorders>
            <w:vAlign w:val="center"/>
            <w:hideMark/>
          </w:tcPr>
          <w:p w14:paraId="54B5DDC3" w14:textId="77777777" w:rsidR="008C0A68" w:rsidRDefault="008C0A68" w:rsidP="00E41AB9">
            <w:pPr>
              <w:jc w:val="center"/>
              <w:rPr>
                <w:rFonts w:eastAsia="MS Mincho"/>
                <w:sz w:val="20"/>
              </w:rPr>
            </w:pPr>
            <w:r>
              <w:rPr>
                <w:rFonts w:eastAsia="MS Mincho"/>
                <w:sz w:val="20"/>
              </w:rPr>
              <w:t>0,15</w:t>
            </w:r>
          </w:p>
        </w:tc>
      </w:tr>
      <w:tr w:rsidR="008C0A68" w14:paraId="2D6AD767" w14:textId="77777777" w:rsidTr="00E41AB9">
        <w:trPr>
          <w:cantSplit/>
          <w:trHeight w:val="679"/>
        </w:trPr>
        <w:tc>
          <w:tcPr>
            <w:tcW w:w="228" w:type="pct"/>
            <w:tcBorders>
              <w:top w:val="single" w:sz="4" w:space="0" w:color="auto"/>
              <w:left w:val="single" w:sz="4" w:space="0" w:color="auto"/>
              <w:bottom w:val="single" w:sz="4" w:space="0" w:color="auto"/>
              <w:right w:val="single" w:sz="4" w:space="0" w:color="auto"/>
            </w:tcBorders>
            <w:vAlign w:val="center"/>
            <w:hideMark/>
          </w:tcPr>
          <w:p w14:paraId="6225F2D9" w14:textId="77777777" w:rsidR="008C0A68" w:rsidRDefault="008C0A68" w:rsidP="00E41AB9">
            <w:pPr>
              <w:rPr>
                <w:rFonts w:eastAsia="MS Mincho"/>
                <w:bCs/>
                <w:i/>
                <w:iCs/>
                <w:sz w:val="20"/>
              </w:rPr>
            </w:pPr>
            <w:r>
              <w:rPr>
                <w:rFonts w:eastAsia="MS Mincho"/>
                <w:bCs/>
                <w:i/>
                <w:iCs/>
                <w:sz w:val="20"/>
              </w:rPr>
              <w:t>К2</w:t>
            </w:r>
          </w:p>
        </w:tc>
        <w:tc>
          <w:tcPr>
            <w:tcW w:w="1296" w:type="pct"/>
            <w:tcBorders>
              <w:top w:val="single" w:sz="4" w:space="0" w:color="auto"/>
              <w:left w:val="single" w:sz="4" w:space="0" w:color="auto"/>
              <w:bottom w:val="single" w:sz="4" w:space="0" w:color="auto"/>
              <w:right w:val="single" w:sz="4" w:space="0" w:color="auto"/>
            </w:tcBorders>
            <w:vAlign w:val="center"/>
            <w:hideMark/>
          </w:tcPr>
          <w:p w14:paraId="64E24D9D" w14:textId="77777777" w:rsidR="008C0A68" w:rsidRDefault="008C0A68" w:rsidP="00E41AB9">
            <w:pPr>
              <w:rPr>
                <w:rFonts w:eastAsia="Calibri"/>
                <w:sz w:val="20"/>
              </w:rPr>
            </w:pPr>
            <w:r>
              <w:rPr>
                <w:sz w:val="20"/>
              </w:rPr>
              <w:t>Коэффициент обеспеченности собственными оборотными средствами</w:t>
            </w:r>
          </w:p>
        </w:tc>
        <w:tc>
          <w:tcPr>
            <w:tcW w:w="2301" w:type="pct"/>
            <w:gridSpan w:val="3"/>
            <w:tcBorders>
              <w:top w:val="single" w:sz="4" w:space="0" w:color="auto"/>
              <w:left w:val="single" w:sz="4" w:space="0" w:color="auto"/>
              <w:bottom w:val="single" w:sz="4" w:space="0" w:color="auto"/>
              <w:right w:val="single" w:sz="4" w:space="0" w:color="auto"/>
            </w:tcBorders>
            <w:vAlign w:val="center"/>
            <w:hideMark/>
          </w:tcPr>
          <w:p w14:paraId="58C8779F" w14:textId="77777777" w:rsidR="008C0A68" w:rsidRDefault="008C0A68" w:rsidP="00E41AB9">
            <w:pPr>
              <w:jc w:val="center"/>
              <w:rPr>
                <w:rFonts w:eastAsia="MS Mincho"/>
                <w:sz w:val="20"/>
              </w:rPr>
            </w:pPr>
            <w:r>
              <w:rPr>
                <w:rFonts w:eastAsia="MS Mincho"/>
                <w:sz w:val="20"/>
              </w:rPr>
              <w:t>свыше 0,2</w:t>
            </w:r>
          </w:p>
          <w:p w14:paraId="1DA1E4B5" w14:textId="77777777" w:rsidR="008C0A68" w:rsidRDefault="008C0A68" w:rsidP="00E41AB9">
            <w:pPr>
              <w:jc w:val="center"/>
              <w:rPr>
                <w:rFonts w:eastAsia="MS Mincho"/>
                <w:sz w:val="20"/>
              </w:rPr>
            </w:pPr>
            <w:r>
              <w:rPr>
                <w:rFonts w:eastAsia="MS Mincho"/>
                <w:sz w:val="20"/>
              </w:rPr>
              <w:t>от 0 до 0,2</w:t>
            </w:r>
          </w:p>
          <w:p w14:paraId="66CFB457" w14:textId="77777777" w:rsidR="008C0A68" w:rsidRDefault="008C0A68" w:rsidP="00E41AB9">
            <w:pPr>
              <w:jc w:val="center"/>
              <w:rPr>
                <w:rFonts w:eastAsia="MS Mincho"/>
                <w:sz w:val="20"/>
              </w:rPr>
            </w:pPr>
            <w:r>
              <w:rPr>
                <w:rFonts w:eastAsia="MS Mincho"/>
                <w:sz w:val="20"/>
              </w:rPr>
              <w:t>отрицательный</w:t>
            </w:r>
          </w:p>
        </w:tc>
        <w:tc>
          <w:tcPr>
            <w:tcW w:w="421" w:type="pct"/>
            <w:tcBorders>
              <w:top w:val="single" w:sz="4" w:space="0" w:color="auto"/>
              <w:left w:val="single" w:sz="4" w:space="0" w:color="auto"/>
              <w:bottom w:val="single" w:sz="4" w:space="0" w:color="auto"/>
              <w:right w:val="single" w:sz="4" w:space="0" w:color="auto"/>
            </w:tcBorders>
            <w:vAlign w:val="center"/>
            <w:hideMark/>
          </w:tcPr>
          <w:p w14:paraId="49465D79" w14:textId="77777777" w:rsidR="008C0A68" w:rsidRDefault="008C0A68" w:rsidP="00E41AB9">
            <w:pPr>
              <w:jc w:val="center"/>
              <w:rPr>
                <w:rFonts w:eastAsia="MS Mincho"/>
                <w:sz w:val="20"/>
              </w:rPr>
            </w:pPr>
            <w:r>
              <w:rPr>
                <w:rFonts w:eastAsia="MS Mincho"/>
                <w:sz w:val="20"/>
              </w:rPr>
              <w:t>100</w:t>
            </w:r>
          </w:p>
          <w:p w14:paraId="2B7CCC11" w14:textId="77777777" w:rsidR="008C0A68" w:rsidRDefault="008C0A68" w:rsidP="00E41AB9">
            <w:pPr>
              <w:jc w:val="center"/>
              <w:rPr>
                <w:rFonts w:eastAsia="MS Mincho"/>
                <w:sz w:val="20"/>
              </w:rPr>
            </w:pPr>
            <w:r>
              <w:rPr>
                <w:rFonts w:eastAsia="MS Mincho"/>
                <w:sz w:val="20"/>
              </w:rPr>
              <w:t>70</w:t>
            </w:r>
          </w:p>
          <w:p w14:paraId="6DAD6B3C" w14:textId="77777777" w:rsidR="008C0A68" w:rsidRDefault="008C0A68" w:rsidP="00E41AB9">
            <w:pPr>
              <w:jc w:val="center"/>
              <w:rPr>
                <w:rFonts w:eastAsia="MS Mincho"/>
                <w:sz w:val="20"/>
              </w:rPr>
            </w:pPr>
            <w:r>
              <w:rPr>
                <w:rFonts w:eastAsia="MS Mincho"/>
                <w:sz w:val="20"/>
              </w:rPr>
              <w:t>- 5</w:t>
            </w:r>
          </w:p>
        </w:tc>
        <w:tc>
          <w:tcPr>
            <w:tcW w:w="754" w:type="pct"/>
            <w:tcBorders>
              <w:top w:val="single" w:sz="4" w:space="0" w:color="auto"/>
              <w:left w:val="single" w:sz="4" w:space="0" w:color="auto"/>
              <w:bottom w:val="single" w:sz="4" w:space="0" w:color="auto"/>
              <w:right w:val="single" w:sz="4" w:space="0" w:color="auto"/>
            </w:tcBorders>
            <w:vAlign w:val="center"/>
            <w:hideMark/>
          </w:tcPr>
          <w:p w14:paraId="30F7CC71" w14:textId="77777777" w:rsidR="008C0A68" w:rsidRDefault="008C0A68" w:rsidP="00E41AB9">
            <w:pPr>
              <w:jc w:val="center"/>
              <w:rPr>
                <w:rFonts w:eastAsia="MS Mincho"/>
                <w:sz w:val="20"/>
              </w:rPr>
            </w:pPr>
            <w:r>
              <w:rPr>
                <w:rFonts w:eastAsia="MS Mincho"/>
                <w:sz w:val="20"/>
              </w:rPr>
              <w:t>0,15</w:t>
            </w:r>
          </w:p>
        </w:tc>
      </w:tr>
      <w:tr w:rsidR="008C0A68" w14:paraId="1A582393" w14:textId="77777777" w:rsidTr="00E41AB9">
        <w:trPr>
          <w:cantSplit/>
          <w:trHeight w:val="292"/>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76D667C7" w14:textId="77777777" w:rsidR="008C0A68" w:rsidRDefault="008C0A68" w:rsidP="00E41AB9">
            <w:pPr>
              <w:rPr>
                <w:rFonts w:eastAsia="MS Mincho"/>
                <w:sz w:val="20"/>
              </w:rPr>
            </w:pPr>
            <w:r>
              <w:rPr>
                <w:rFonts w:eastAsia="MS Mincho"/>
                <w:bCs/>
                <w:sz w:val="20"/>
              </w:rPr>
              <w:t>Показатели ликвидности</w:t>
            </w:r>
          </w:p>
        </w:tc>
      </w:tr>
      <w:tr w:rsidR="008C0A68" w14:paraId="2D95CA27" w14:textId="77777777" w:rsidTr="00E41AB9">
        <w:trPr>
          <w:cantSplit/>
          <w:trHeight w:val="269"/>
        </w:trPr>
        <w:tc>
          <w:tcPr>
            <w:tcW w:w="228" w:type="pct"/>
            <w:tcBorders>
              <w:top w:val="single" w:sz="4" w:space="0" w:color="auto"/>
              <w:left w:val="single" w:sz="4" w:space="0" w:color="auto"/>
              <w:bottom w:val="single" w:sz="4" w:space="0" w:color="auto"/>
              <w:right w:val="single" w:sz="4" w:space="0" w:color="auto"/>
            </w:tcBorders>
            <w:vAlign w:val="center"/>
            <w:hideMark/>
          </w:tcPr>
          <w:p w14:paraId="42596FA1" w14:textId="77777777" w:rsidR="008C0A68" w:rsidRDefault="008C0A68" w:rsidP="00E41AB9">
            <w:pPr>
              <w:rPr>
                <w:rFonts w:eastAsia="MS Mincho"/>
                <w:bCs/>
                <w:i/>
                <w:iCs/>
                <w:sz w:val="20"/>
              </w:rPr>
            </w:pPr>
            <w:r>
              <w:rPr>
                <w:rFonts w:eastAsia="MS Mincho"/>
                <w:bCs/>
                <w:i/>
                <w:iCs/>
                <w:sz w:val="20"/>
              </w:rPr>
              <w:t>К3</w:t>
            </w:r>
          </w:p>
        </w:tc>
        <w:tc>
          <w:tcPr>
            <w:tcW w:w="1296" w:type="pct"/>
            <w:tcBorders>
              <w:top w:val="single" w:sz="4" w:space="0" w:color="auto"/>
              <w:left w:val="single" w:sz="4" w:space="0" w:color="auto"/>
              <w:bottom w:val="single" w:sz="4" w:space="0" w:color="auto"/>
              <w:right w:val="single" w:sz="4" w:space="0" w:color="auto"/>
            </w:tcBorders>
            <w:vAlign w:val="center"/>
            <w:hideMark/>
          </w:tcPr>
          <w:p w14:paraId="7C1C5A49" w14:textId="77777777" w:rsidR="008C0A68" w:rsidRDefault="008C0A68" w:rsidP="00E41AB9">
            <w:pPr>
              <w:rPr>
                <w:rFonts w:eastAsia="Calibri"/>
                <w:sz w:val="20"/>
              </w:rPr>
            </w:pPr>
            <w:r>
              <w:rPr>
                <w:sz w:val="20"/>
              </w:rPr>
              <w:t>Коэффициент текущей ликвидности</w:t>
            </w:r>
          </w:p>
        </w:tc>
        <w:tc>
          <w:tcPr>
            <w:tcW w:w="2301" w:type="pct"/>
            <w:gridSpan w:val="3"/>
            <w:tcBorders>
              <w:top w:val="single" w:sz="4" w:space="0" w:color="auto"/>
              <w:left w:val="single" w:sz="4" w:space="0" w:color="auto"/>
              <w:bottom w:val="single" w:sz="4" w:space="0" w:color="auto"/>
              <w:right w:val="single" w:sz="4" w:space="0" w:color="auto"/>
            </w:tcBorders>
            <w:hideMark/>
          </w:tcPr>
          <w:p w14:paraId="66C0AAD0" w14:textId="77777777" w:rsidR="008C0A68" w:rsidRDefault="008C0A68" w:rsidP="00E41AB9">
            <w:pPr>
              <w:jc w:val="center"/>
              <w:rPr>
                <w:rFonts w:eastAsia="MS Mincho"/>
                <w:sz w:val="20"/>
              </w:rPr>
            </w:pPr>
            <w:r>
              <w:rPr>
                <w:rFonts w:eastAsia="MS Mincho"/>
                <w:sz w:val="20"/>
              </w:rPr>
              <w:t>свыше 1,6</w:t>
            </w:r>
          </w:p>
          <w:p w14:paraId="0865D6FE" w14:textId="77777777" w:rsidR="008C0A68" w:rsidRDefault="008C0A68" w:rsidP="00E41AB9">
            <w:pPr>
              <w:jc w:val="center"/>
              <w:rPr>
                <w:rFonts w:eastAsia="MS Mincho"/>
                <w:sz w:val="20"/>
              </w:rPr>
            </w:pPr>
            <w:r>
              <w:rPr>
                <w:rFonts w:eastAsia="MS Mincho"/>
                <w:sz w:val="20"/>
              </w:rPr>
              <w:t>от 1,0 до 1,6</w:t>
            </w:r>
          </w:p>
          <w:p w14:paraId="45F57131" w14:textId="77777777" w:rsidR="008C0A68" w:rsidRDefault="008C0A68" w:rsidP="00E41AB9">
            <w:pPr>
              <w:jc w:val="center"/>
              <w:rPr>
                <w:rFonts w:eastAsia="MS Mincho"/>
                <w:sz w:val="20"/>
              </w:rPr>
            </w:pPr>
            <w:r>
              <w:rPr>
                <w:rFonts w:eastAsia="MS Mincho"/>
                <w:sz w:val="20"/>
              </w:rPr>
              <w:t>от 0 до 1,0</w:t>
            </w:r>
          </w:p>
          <w:p w14:paraId="74043100" w14:textId="77777777" w:rsidR="008C0A68" w:rsidRDefault="008C0A68" w:rsidP="00E41AB9">
            <w:pPr>
              <w:jc w:val="center"/>
              <w:rPr>
                <w:rFonts w:eastAsia="MS Mincho"/>
                <w:sz w:val="20"/>
              </w:rPr>
            </w:pPr>
            <w:r>
              <w:rPr>
                <w:rFonts w:eastAsia="MS Mincho"/>
                <w:sz w:val="20"/>
              </w:rPr>
              <w:t>отрицательный</w:t>
            </w:r>
          </w:p>
        </w:tc>
        <w:tc>
          <w:tcPr>
            <w:tcW w:w="421" w:type="pct"/>
            <w:tcBorders>
              <w:top w:val="single" w:sz="4" w:space="0" w:color="auto"/>
              <w:left w:val="single" w:sz="4" w:space="0" w:color="auto"/>
              <w:bottom w:val="single" w:sz="4" w:space="0" w:color="auto"/>
              <w:right w:val="single" w:sz="4" w:space="0" w:color="auto"/>
            </w:tcBorders>
            <w:hideMark/>
          </w:tcPr>
          <w:p w14:paraId="5FD8C2C9" w14:textId="77777777" w:rsidR="008C0A68" w:rsidRDefault="008C0A68" w:rsidP="00E41AB9">
            <w:pPr>
              <w:jc w:val="center"/>
              <w:rPr>
                <w:rFonts w:eastAsia="MS Mincho"/>
                <w:sz w:val="20"/>
              </w:rPr>
            </w:pPr>
            <w:r>
              <w:rPr>
                <w:rFonts w:eastAsia="MS Mincho"/>
                <w:sz w:val="20"/>
              </w:rPr>
              <w:t>100</w:t>
            </w:r>
          </w:p>
          <w:p w14:paraId="19B5878B" w14:textId="77777777" w:rsidR="008C0A68" w:rsidRDefault="008C0A68" w:rsidP="00E41AB9">
            <w:pPr>
              <w:jc w:val="center"/>
              <w:rPr>
                <w:rFonts w:eastAsia="MS Mincho"/>
                <w:sz w:val="20"/>
              </w:rPr>
            </w:pPr>
            <w:r>
              <w:rPr>
                <w:rFonts w:eastAsia="MS Mincho"/>
                <w:sz w:val="20"/>
              </w:rPr>
              <w:t>70</w:t>
            </w:r>
          </w:p>
          <w:p w14:paraId="641D8FE6" w14:textId="77777777" w:rsidR="008C0A68" w:rsidRDefault="008C0A68" w:rsidP="00E41AB9">
            <w:pPr>
              <w:jc w:val="center"/>
              <w:rPr>
                <w:rFonts w:eastAsia="MS Mincho"/>
                <w:sz w:val="20"/>
              </w:rPr>
            </w:pPr>
            <w:r>
              <w:rPr>
                <w:rFonts w:eastAsia="MS Mincho"/>
                <w:sz w:val="20"/>
              </w:rPr>
              <w:t>10</w:t>
            </w:r>
          </w:p>
          <w:p w14:paraId="5D26516E" w14:textId="77777777" w:rsidR="008C0A68" w:rsidRDefault="008C0A68" w:rsidP="00E41AB9">
            <w:pPr>
              <w:jc w:val="center"/>
              <w:rPr>
                <w:rFonts w:eastAsia="MS Mincho"/>
                <w:sz w:val="20"/>
              </w:rPr>
            </w:pPr>
            <w:r>
              <w:rPr>
                <w:rFonts w:eastAsia="MS Mincho"/>
                <w:sz w:val="20"/>
              </w:rPr>
              <w:t>- 5</w:t>
            </w:r>
          </w:p>
        </w:tc>
        <w:tc>
          <w:tcPr>
            <w:tcW w:w="754" w:type="pct"/>
            <w:tcBorders>
              <w:top w:val="single" w:sz="4" w:space="0" w:color="auto"/>
              <w:left w:val="single" w:sz="4" w:space="0" w:color="auto"/>
              <w:bottom w:val="single" w:sz="4" w:space="0" w:color="auto"/>
              <w:right w:val="single" w:sz="4" w:space="0" w:color="auto"/>
            </w:tcBorders>
            <w:vAlign w:val="center"/>
            <w:hideMark/>
          </w:tcPr>
          <w:p w14:paraId="220ED1DD" w14:textId="77777777" w:rsidR="008C0A68" w:rsidRDefault="008C0A68" w:rsidP="00E41AB9">
            <w:pPr>
              <w:jc w:val="center"/>
              <w:rPr>
                <w:rFonts w:eastAsia="MS Mincho"/>
                <w:sz w:val="20"/>
                <w:lang w:val="en-US"/>
              </w:rPr>
            </w:pPr>
            <w:r>
              <w:rPr>
                <w:rFonts w:eastAsia="MS Mincho"/>
                <w:sz w:val="20"/>
              </w:rPr>
              <w:t>0,</w:t>
            </w:r>
            <w:r>
              <w:rPr>
                <w:rFonts w:eastAsia="MS Mincho"/>
                <w:sz w:val="20"/>
                <w:lang w:val="en-US"/>
              </w:rPr>
              <w:t>20</w:t>
            </w:r>
          </w:p>
        </w:tc>
      </w:tr>
      <w:tr w:rsidR="008C0A68" w14:paraId="5B76A6CE" w14:textId="77777777" w:rsidTr="00E41AB9">
        <w:trPr>
          <w:cantSplit/>
          <w:trHeight w:val="269"/>
        </w:trPr>
        <w:tc>
          <w:tcPr>
            <w:tcW w:w="228" w:type="pct"/>
            <w:tcBorders>
              <w:top w:val="single" w:sz="4" w:space="0" w:color="auto"/>
              <w:left w:val="single" w:sz="4" w:space="0" w:color="auto"/>
              <w:bottom w:val="single" w:sz="4" w:space="0" w:color="auto"/>
              <w:right w:val="single" w:sz="4" w:space="0" w:color="auto"/>
            </w:tcBorders>
            <w:vAlign w:val="center"/>
            <w:hideMark/>
          </w:tcPr>
          <w:p w14:paraId="6678FCDA" w14:textId="77777777" w:rsidR="008C0A68" w:rsidRDefault="008C0A68" w:rsidP="00E41AB9">
            <w:pPr>
              <w:rPr>
                <w:rFonts w:eastAsia="MS Mincho"/>
                <w:bCs/>
                <w:i/>
                <w:iCs/>
                <w:sz w:val="20"/>
              </w:rPr>
            </w:pPr>
            <w:r>
              <w:rPr>
                <w:rFonts w:eastAsia="MS Mincho"/>
                <w:bCs/>
                <w:i/>
                <w:iCs/>
                <w:sz w:val="20"/>
              </w:rPr>
              <w:t>К4</w:t>
            </w:r>
          </w:p>
        </w:tc>
        <w:tc>
          <w:tcPr>
            <w:tcW w:w="1296" w:type="pct"/>
            <w:tcBorders>
              <w:top w:val="single" w:sz="4" w:space="0" w:color="auto"/>
              <w:left w:val="single" w:sz="4" w:space="0" w:color="auto"/>
              <w:bottom w:val="single" w:sz="4" w:space="0" w:color="auto"/>
              <w:right w:val="single" w:sz="4" w:space="0" w:color="auto"/>
            </w:tcBorders>
            <w:vAlign w:val="center"/>
            <w:hideMark/>
          </w:tcPr>
          <w:p w14:paraId="4A892A5C" w14:textId="77777777" w:rsidR="008C0A68" w:rsidRDefault="008C0A68" w:rsidP="00E41AB9">
            <w:pPr>
              <w:rPr>
                <w:rFonts w:eastAsia="Calibri"/>
                <w:sz w:val="20"/>
              </w:rPr>
            </w:pPr>
            <w:r>
              <w:rPr>
                <w:sz w:val="20"/>
              </w:rPr>
              <w:t>Коэффициент срочной ликвидности</w:t>
            </w:r>
          </w:p>
        </w:tc>
        <w:tc>
          <w:tcPr>
            <w:tcW w:w="2301" w:type="pct"/>
            <w:gridSpan w:val="3"/>
            <w:tcBorders>
              <w:top w:val="single" w:sz="4" w:space="0" w:color="auto"/>
              <w:left w:val="single" w:sz="4" w:space="0" w:color="auto"/>
              <w:bottom w:val="single" w:sz="4" w:space="0" w:color="auto"/>
              <w:right w:val="single" w:sz="4" w:space="0" w:color="auto"/>
            </w:tcBorders>
            <w:hideMark/>
          </w:tcPr>
          <w:p w14:paraId="0B2AEC3C" w14:textId="77777777" w:rsidR="008C0A68" w:rsidRDefault="008C0A68" w:rsidP="00E41AB9">
            <w:pPr>
              <w:jc w:val="center"/>
              <w:rPr>
                <w:rFonts w:eastAsia="MS Mincho"/>
                <w:sz w:val="20"/>
              </w:rPr>
            </w:pPr>
            <w:r>
              <w:rPr>
                <w:rFonts w:eastAsia="MS Mincho"/>
                <w:sz w:val="20"/>
              </w:rPr>
              <w:t>свыше 0,5</w:t>
            </w:r>
          </w:p>
          <w:p w14:paraId="08B560FD" w14:textId="77777777" w:rsidR="008C0A68" w:rsidRDefault="008C0A68" w:rsidP="00E41AB9">
            <w:pPr>
              <w:jc w:val="center"/>
              <w:rPr>
                <w:rFonts w:eastAsia="MS Mincho"/>
                <w:sz w:val="20"/>
              </w:rPr>
            </w:pPr>
            <w:r>
              <w:rPr>
                <w:rFonts w:eastAsia="MS Mincho"/>
                <w:sz w:val="20"/>
              </w:rPr>
              <w:t>от 0,1 до 0,5</w:t>
            </w:r>
          </w:p>
          <w:p w14:paraId="31567D50" w14:textId="77777777" w:rsidR="008C0A68" w:rsidRDefault="008C0A68" w:rsidP="00E41AB9">
            <w:pPr>
              <w:jc w:val="center"/>
              <w:rPr>
                <w:rFonts w:eastAsia="MS Mincho"/>
                <w:sz w:val="20"/>
              </w:rPr>
            </w:pPr>
            <w:r>
              <w:rPr>
                <w:rFonts w:eastAsia="MS Mincho"/>
                <w:sz w:val="20"/>
              </w:rPr>
              <w:t>от 0 до 0,1</w:t>
            </w:r>
          </w:p>
          <w:p w14:paraId="5E1230C4" w14:textId="77777777" w:rsidR="008C0A68" w:rsidRDefault="008C0A68" w:rsidP="00E41AB9">
            <w:pPr>
              <w:jc w:val="center"/>
              <w:rPr>
                <w:rFonts w:eastAsia="MS Mincho"/>
                <w:sz w:val="20"/>
              </w:rPr>
            </w:pPr>
            <w:r>
              <w:rPr>
                <w:rFonts w:eastAsia="MS Mincho"/>
                <w:sz w:val="20"/>
              </w:rPr>
              <w:t>отрицательный</w:t>
            </w:r>
          </w:p>
        </w:tc>
        <w:tc>
          <w:tcPr>
            <w:tcW w:w="421" w:type="pct"/>
            <w:tcBorders>
              <w:top w:val="single" w:sz="4" w:space="0" w:color="auto"/>
              <w:left w:val="single" w:sz="4" w:space="0" w:color="auto"/>
              <w:bottom w:val="single" w:sz="4" w:space="0" w:color="auto"/>
              <w:right w:val="single" w:sz="4" w:space="0" w:color="auto"/>
            </w:tcBorders>
            <w:hideMark/>
          </w:tcPr>
          <w:p w14:paraId="7AE5ACB6" w14:textId="77777777" w:rsidR="008C0A68" w:rsidRDefault="008C0A68" w:rsidP="00E41AB9">
            <w:pPr>
              <w:jc w:val="center"/>
              <w:rPr>
                <w:rFonts w:eastAsia="MS Mincho"/>
                <w:sz w:val="20"/>
              </w:rPr>
            </w:pPr>
            <w:r>
              <w:rPr>
                <w:rFonts w:eastAsia="MS Mincho"/>
                <w:sz w:val="20"/>
              </w:rPr>
              <w:t>100</w:t>
            </w:r>
          </w:p>
          <w:p w14:paraId="581FB654" w14:textId="77777777" w:rsidR="008C0A68" w:rsidRDefault="008C0A68" w:rsidP="00E41AB9">
            <w:pPr>
              <w:jc w:val="center"/>
              <w:rPr>
                <w:rFonts w:eastAsia="MS Mincho"/>
                <w:sz w:val="20"/>
              </w:rPr>
            </w:pPr>
            <w:r>
              <w:rPr>
                <w:rFonts w:eastAsia="MS Mincho"/>
                <w:sz w:val="20"/>
              </w:rPr>
              <w:t>70</w:t>
            </w:r>
          </w:p>
          <w:p w14:paraId="53A2AA3A" w14:textId="77777777" w:rsidR="008C0A68" w:rsidRDefault="008C0A68" w:rsidP="00E41AB9">
            <w:pPr>
              <w:jc w:val="center"/>
              <w:rPr>
                <w:rFonts w:eastAsia="MS Mincho"/>
                <w:sz w:val="20"/>
              </w:rPr>
            </w:pPr>
            <w:r>
              <w:rPr>
                <w:rFonts w:eastAsia="MS Mincho"/>
                <w:sz w:val="20"/>
              </w:rPr>
              <w:t>10</w:t>
            </w:r>
          </w:p>
          <w:p w14:paraId="22695AA0" w14:textId="77777777" w:rsidR="008C0A68" w:rsidRDefault="008C0A68" w:rsidP="00E41AB9">
            <w:pPr>
              <w:jc w:val="center"/>
              <w:rPr>
                <w:rFonts w:eastAsia="MS Mincho"/>
                <w:sz w:val="20"/>
              </w:rPr>
            </w:pPr>
            <w:r>
              <w:rPr>
                <w:rFonts w:eastAsia="MS Mincho"/>
                <w:sz w:val="20"/>
              </w:rPr>
              <w:t>- 5</w:t>
            </w:r>
          </w:p>
        </w:tc>
        <w:tc>
          <w:tcPr>
            <w:tcW w:w="754" w:type="pct"/>
            <w:tcBorders>
              <w:top w:val="single" w:sz="4" w:space="0" w:color="auto"/>
              <w:left w:val="single" w:sz="4" w:space="0" w:color="auto"/>
              <w:bottom w:val="single" w:sz="4" w:space="0" w:color="auto"/>
              <w:right w:val="single" w:sz="4" w:space="0" w:color="auto"/>
            </w:tcBorders>
            <w:vAlign w:val="center"/>
            <w:hideMark/>
          </w:tcPr>
          <w:p w14:paraId="3EC660A6" w14:textId="77777777" w:rsidR="008C0A68" w:rsidRDefault="008C0A68" w:rsidP="00E41AB9">
            <w:pPr>
              <w:jc w:val="center"/>
              <w:rPr>
                <w:rFonts w:eastAsia="MS Mincho"/>
                <w:sz w:val="20"/>
              </w:rPr>
            </w:pPr>
            <w:r>
              <w:rPr>
                <w:rFonts w:eastAsia="MS Mincho"/>
                <w:sz w:val="20"/>
              </w:rPr>
              <w:t>0,15</w:t>
            </w:r>
          </w:p>
        </w:tc>
      </w:tr>
      <w:tr w:rsidR="008C0A68" w14:paraId="3CD7CC72" w14:textId="77777777" w:rsidTr="00E41AB9">
        <w:trPr>
          <w:cantSplit/>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71EA1941" w14:textId="77777777" w:rsidR="008C0A68" w:rsidRDefault="008C0A68" w:rsidP="00E41AB9">
            <w:pPr>
              <w:rPr>
                <w:rFonts w:eastAsia="MS Mincho"/>
                <w:sz w:val="20"/>
              </w:rPr>
            </w:pPr>
            <w:r>
              <w:rPr>
                <w:rFonts w:eastAsia="MS Mincho"/>
                <w:bCs/>
                <w:sz w:val="20"/>
              </w:rPr>
              <w:t>Показатели рентабельности</w:t>
            </w:r>
          </w:p>
        </w:tc>
      </w:tr>
      <w:tr w:rsidR="008C0A68" w14:paraId="264C309B" w14:textId="77777777" w:rsidTr="00E41AB9">
        <w:trPr>
          <w:cantSplit/>
          <w:trHeight w:val="269"/>
        </w:trPr>
        <w:tc>
          <w:tcPr>
            <w:tcW w:w="228" w:type="pct"/>
            <w:tcBorders>
              <w:top w:val="single" w:sz="4" w:space="0" w:color="auto"/>
              <w:left w:val="single" w:sz="4" w:space="0" w:color="auto"/>
              <w:bottom w:val="single" w:sz="4" w:space="0" w:color="auto"/>
              <w:right w:val="single" w:sz="4" w:space="0" w:color="auto"/>
            </w:tcBorders>
            <w:vAlign w:val="center"/>
            <w:hideMark/>
          </w:tcPr>
          <w:p w14:paraId="3DCB18BE" w14:textId="77777777" w:rsidR="008C0A68" w:rsidRDefault="008C0A68" w:rsidP="00E41AB9">
            <w:pPr>
              <w:rPr>
                <w:rFonts w:eastAsia="MS Mincho"/>
                <w:bCs/>
                <w:i/>
                <w:iCs/>
                <w:sz w:val="20"/>
              </w:rPr>
            </w:pPr>
            <w:r>
              <w:rPr>
                <w:rFonts w:eastAsia="MS Mincho"/>
                <w:bCs/>
                <w:i/>
                <w:iCs/>
                <w:sz w:val="20"/>
              </w:rPr>
              <w:t>К5</w:t>
            </w:r>
          </w:p>
        </w:tc>
        <w:tc>
          <w:tcPr>
            <w:tcW w:w="1296" w:type="pct"/>
            <w:tcBorders>
              <w:top w:val="single" w:sz="4" w:space="0" w:color="auto"/>
              <w:left w:val="single" w:sz="4" w:space="0" w:color="auto"/>
              <w:bottom w:val="single" w:sz="4" w:space="0" w:color="auto"/>
              <w:right w:val="single" w:sz="4" w:space="0" w:color="auto"/>
            </w:tcBorders>
            <w:vAlign w:val="center"/>
            <w:hideMark/>
          </w:tcPr>
          <w:p w14:paraId="3380F702" w14:textId="77777777" w:rsidR="008C0A68" w:rsidRDefault="008C0A68" w:rsidP="00E41AB9">
            <w:pPr>
              <w:rPr>
                <w:rFonts w:eastAsia="Calibri"/>
                <w:sz w:val="20"/>
              </w:rPr>
            </w:pPr>
            <w:r>
              <w:rPr>
                <w:sz w:val="20"/>
              </w:rPr>
              <w:t>Рентабельность продаж</w:t>
            </w:r>
          </w:p>
          <w:p w14:paraId="7590D43A" w14:textId="77777777" w:rsidR="008C0A68" w:rsidRDefault="008C0A68" w:rsidP="00E41AB9">
            <w:pPr>
              <w:rPr>
                <w:sz w:val="20"/>
              </w:rPr>
            </w:pPr>
            <w:r>
              <w:rPr>
                <w:sz w:val="20"/>
              </w:rPr>
              <w:t>(норма прибыли)</w:t>
            </w:r>
          </w:p>
        </w:tc>
        <w:tc>
          <w:tcPr>
            <w:tcW w:w="2301" w:type="pct"/>
            <w:gridSpan w:val="3"/>
            <w:tcBorders>
              <w:top w:val="single" w:sz="4" w:space="0" w:color="auto"/>
              <w:left w:val="single" w:sz="4" w:space="0" w:color="auto"/>
              <w:bottom w:val="single" w:sz="4" w:space="0" w:color="auto"/>
              <w:right w:val="single" w:sz="4" w:space="0" w:color="auto"/>
            </w:tcBorders>
            <w:hideMark/>
          </w:tcPr>
          <w:p w14:paraId="502AA05E" w14:textId="77777777" w:rsidR="008C0A68" w:rsidRDefault="008C0A68" w:rsidP="00E41AB9">
            <w:pPr>
              <w:jc w:val="center"/>
              <w:rPr>
                <w:rFonts w:eastAsia="MS Mincho"/>
                <w:sz w:val="20"/>
              </w:rPr>
            </w:pPr>
            <w:r>
              <w:rPr>
                <w:rFonts w:eastAsia="MS Mincho"/>
                <w:sz w:val="20"/>
              </w:rPr>
              <w:t>свыше 0,1</w:t>
            </w:r>
          </w:p>
          <w:p w14:paraId="0E571430" w14:textId="77777777" w:rsidR="008C0A68" w:rsidRDefault="008C0A68" w:rsidP="00E41AB9">
            <w:pPr>
              <w:jc w:val="center"/>
              <w:rPr>
                <w:rFonts w:eastAsia="MS Mincho"/>
                <w:sz w:val="20"/>
              </w:rPr>
            </w:pPr>
            <w:r>
              <w:rPr>
                <w:rFonts w:eastAsia="MS Mincho"/>
                <w:sz w:val="20"/>
              </w:rPr>
              <w:t>от 0 до 0,1</w:t>
            </w:r>
          </w:p>
          <w:p w14:paraId="3DAE2757" w14:textId="77777777" w:rsidR="008C0A68" w:rsidRDefault="008C0A68" w:rsidP="00E41AB9">
            <w:pPr>
              <w:jc w:val="center"/>
              <w:rPr>
                <w:rFonts w:eastAsia="MS Mincho"/>
                <w:sz w:val="20"/>
              </w:rPr>
            </w:pPr>
            <w:r>
              <w:rPr>
                <w:rFonts w:eastAsia="MS Mincho"/>
                <w:sz w:val="20"/>
              </w:rPr>
              <w:t>отрицательный</w:t>
            </w:r>
          </w:p>
        </w:tc>
        <w:tc>
          <w:tcPr>
            <w:tcW w:w="421" w:type="pct"/>
            <w:tcBorders>
              <w:top w:val="single" w:sz="4" w:space="0" w:color="auto"/>
              <w:left w:val="single" w:sz="4" w:space="0" w:color="auto"/>
              <w:bottom w:val="single" w:sz="4" w:space="0" w:color="auto"/>
              <w:right w:val="single" w:sz="4" w:space="0" w:color="auto"/>
            </w:tcBorders>
            <w:hideMark/>
          </w:tcPr>
          <w:p w14:paraId="5D280D65" w14:textId="77777777" w:rsidR="008C0A68" w:rsidRDefault="008C0A68" w:rsidP="00E41AB9">
            <w:pPr>
              <w:jc w:val="center"/>
              <w:rPr>
                <w:rFonts w:eastAsia="MS Mincho"/>
                <w:sz w:val="20"/>
              </w:rPr>
            </w:pPr>
            <w:r>
              <w:rPr>
                <w:rFonts w:eastAsia="MS Mincho"/>
                <w:sz w:val="20"/>
              </w:rPr>
              <w:t>100</w:t>
            </w:r>
          </w:p>
          <w:p w14:paraId="6496BEE5" w14:textId="77777777" w:rsidR="008C0A68" w:rsidRDefault="008C0A68" w:rsidP="00E41AB9">
            <w:pPr>
              <w:jc w:val="center"/>
              <w:rPr>
                <w:rFonts w:eastAsia="MS Mincho"/>
                <w:sz w:val="20"/>
              </w:rPr>
            </w:pPr>
            <w:r>
              <w:rPr>
                <w:rFonts w:eastAsia="MS Mincho"/>
                <w:sz w:val="20"/>
              </w:rPr>
              <w:t>70</w:t>
            </w:r>
          </w:p>
          <w:p w14:paraId="062643EB" w14:textId="77777777" w:rsidR="008C0A68" w:rsidRDefault="008C0A68" w:rsidP="00E41AB9">
            <w:pPr>
              <w:jc w:val="center"/>
              <w:rPr>
                <w:rFonts w:eastAsia="MS Mincho"/>
                <w:sz w:val="20"/>
              </w:rPr>
            </w:pPr>
            <w:r>
              <w:rPr>
                <w:rFonts w:eastAsia="MS Mincho"/>
                <w:sz w:val="20"/>
              </w:rPr>
              <w:t>- 5</w:t>
            </w:r>
          </w:p>
        </w:tc>
        <w:tc>
          <w:tcPr>
            <w:tcW w:w="754" w:type="pct"/>
            <w:tcBorders>
              <w:top w:val="single" w:sz="4" w:space="0" w:color="auto"/>
              <w:left w:val="single" w:sz="4" w:space="0" w:color="auto"/>
              <w:bottom w:val="single" w:sz="4" w:space="0" w:color="auto"/>
              <w:right w:val="single" w:sz="4" w:space="0" w:color="auto"/>
            </w:tcBorders>
            <w:vAlign w:val="center"/>
            <w:hideMark/>
          </w:tcPr>
          <w:p w14:paraId="050830FE" w14:textId="77777777" w:rsidR="008C0A68" w:rsidRDefault="008C0A68" w:rsidP="00E41AB9">
            <w:pPr>
              <w:jc w:val="center"/>
              <w:rPr>
                <w:rFonts w:eastAsia="MS Mincho"/>
                <w:sz w:val="20"/>
              </w:rPr>
            </w:pPr>
            <w:r>
              <w:rPr>
                <w:rFonts w:eastAsia="MS Mincho"/>
                <w:sz w:val="20"/>
                <w:lang w:val="en-US"/>
              </w:rPr>
              <w:t>0</w:t>
            </w:r>
            <w:r>
              <w:rPr>
                <w:rFonts w:eastAsia="MS Mincho"/>
                <w:sz w:val="20"/>
              </w:rPr>
              <w:t>,</w:t>
            </w:r>
            <w:r>
              <w:rPr>
                <w:rFonts w:eastAsia="MS Mincho"/>
                <w:sz w:val="20"/>
                <w:lang w:val="en-US"/>
              </w:rPr>
              <w:t>05</w:t>
            </w:r>
          </w:p>
        </w:tc>
      </w:tr>
      <w:tr w:rsidR="008C0A68" w14:paraId="68C0AAA3" w14:textId="77777777" w:rsidTr="00E41AB9">
        <w:trPr>
          <w:cantSplit/>
          <w:trHeight w:val="269"/>
        </w:trPr>
        <w:tc>
          <w:tcPr>
            <w:tcW w:w="228" w:type="pct"/>
            <w:tcBorders>
              <w:top w:val="single" w:sz="4" w:space="0" w:color="auto"/>
              <w:left w:val="single" w:sz="4" w:space="0" w:color="auto"/>
              <w:bottom w:val="single" w:sz="4" w:space="0" w:color="auto"/>
              <w:right w:val="single" w:sz="4" w:space="0" w:color="auto"/>
            </w:tcBorders>
            <w:vAlign w:val="center"/>
            <w:hideMark/>
          </w:tcPr>
          <w:p w14:paraId="53F163DA" w14:textId="77777777" w:rsidR="008C0A68" w:rsidRDefault="008C0A68" w:rsidP="00E41AB9">
            <w:pPr>
              <w:rPr>
                <w:rFonts w:eastAsia="MS Mincho"/>
                <w:bCs/>
                <w:i/>
                <w:iCs/>
                <w:sz w:val="20"/>
              </w:rPr>
            </w:pPr>
            <w:r>
              <w:rPr>
                <w:rFonts w:eastAsia="MS Mincho"/>
                <w:bCs/>
                <w:i/>
                <w:iCs/>
                <w:sz w:val="20"/>
              </w:rPr>
              <w:t>К6</w:t>
            </w:r>
          </w:p>
        </w:tc>
        <w:tc>
          <w:tcPr>
            <w:tcW w:w="1296" w:type="pct"/>
            <w:tcBorders>
              <w:top w:val="single" w:sz="4" w:space="0" w:color="auto"/>
              <w:left w:val="single" w:sz="4" w:space="0" w:color="auto"/>
              <w:bottom w:val="single" w:sz="4" w:space="0" w:color="auto"/>
              <w:right w:val="single" w:sz="4" w:space="0" w:color="auto"/>
            </w:tcBorders>
            <w:vAlign w:val="center"/>
            <w:hideMark/>
          </w:tcPr>
          <w:p w14:paraId="6E908F37" w14:textId="77777777" w:rsidR="008C0A68" w:rsidRDefault="008C0A68" w:rsidP="00E41AB9">
            <w:pPr>
              <w:rPr>
                <w:rFonts w:eastAsia="Calibri"/>
                <w:sz w:val="20"/>
              </w:rPr>
            </w:pPr>
            <w:r>
              <w:rPr>
                <w:sz w:val="20"/>
              </w:rPr>
              <w:t>Рентабельность реализации продукции (норма чистой прибыли)</w:t>
            </w:r>
          </w:p>
        </w:tc>
        <w:tc>
          <w:tcPr>
            <w:tcW w:w="2301" w:type="pct"/>
            <w:gridSpan w:val="3"/>
            <w:tcBorders>
              <w:top w:val="single" w:sz="4" w:space="0" w:color="auto"/>
              <w:left w:val="single" w:sz="4" w:space="0" w:color="auto"/>
              <w:bottom w:val="single" w:sz="4" w:space="0" w:color="auto"/>
              <w:right w:val="single" w:sz="4" w:space="0" w:color="auto"/>
            </w:tcBorders>
            <w:hideMark/>
          </w:tcPr>
          <w:p w14:paraId="3AD315D6" w14:textId="77777777" w:rsidR="008C0A68" w:rsidRDefault="008C0A68" w:rsidP="00E41AB9">
            <w:pPr>
              <w:jc w:val="center"/>
              <w:rPr>
                <w:rFonts w:eastAsia="MS Mincho"/>
                <w:sz w:val="20"/>
              </w:rPr>
            </w:pPr>
            <w:r>
              <w:rPr>
                <w:rFonts w:eastAsia="MS Mincho"/>
                <w:sz w:val="20"/>
              </w:rPr>
              <w:t>свыше 0,1</w:t>
            </w:r>
          </w:p>
          <w:p w14:paraId="4EF97919" w14:textId="77777777" w:rsidR="008C0A68" w:rsidRDefault="008C0A68" w:rsidP="00E41AB9">
            <w:pPr>
              <w:jc w:val="center"/>
              <w:rPr>
                <w:rFonts w:eastAsia="MS Mincho"/>
                <w:sz w:val="20"/>
              </w:rPr>
            </w:pPr>
            <w:r>
              <w:rPr>
                <w:rFonts w:eastAsia="MS Mincho"/>
                <w:sz w:val="20"/>
              </w:rPr>
              <w:t>от 0 до 0,1</w:t>
            </w:r>
          </w:p>
          <w:p w14:paraId="53A7A36D" w14:textId="77777777" w:rsidR="008C0A68" w:rsidRDefault="008C0A68" w:rsidP="00E41AB9">
            <w:pPr>
              <w:jc w:val="center"/>
              <w:rPr>
                <w:rFonts w:eastAsia="MS Mincho"/>
                <w:sz w:val="20"/>
              </w:rPr>
            </w:pPr>
            <w:r>
              <w:rPr>
                <w:rFonts w:eastAsia="MS Mincho"/>
                <w:sz w:val="20"/>
              </w:rPr>
              <w:t>отрицательный</w:t>
            </w:r>
          </w:p>
        </w:tc>
        <w:tc>
          <w:tcPr>
            <w:tcW w:w="421" w:type="pct"/>
            <w:tcBorders>
              <w:top w:val="single" w:sz="4" w:space="0" w:color="auto"/>
              <w:left w:val="single" w:sz="4" w:space="0" w:color="auto"/>
              <w:bottom w:val="single" w:sz="4" w:space="0" w:color="auto"/>
              <w:right w:val="single" w:sz="4" w:space="0" w:color="auto"/>
            </w:tcBorders>
            <w:hideMark/>
          </w:tcPr>
          <w:p w14:paraId="6135634A" w14:textId="77777777" w:rsidR="008C0A68" w:rsidRDefault="008C0A68" w:rsidP="00E41AB9">
            <w:pPr>
              <w:jc w:val="center"/>
              <w:rPr>
                <w:rFonts w:eastAsia="MS Mincho"/>
                <w:sz w:val="20"/>
              </w:rPr>
            </w:pPr>
            <w:r>
              <w:rPr>
                <w:rFonts w:eastAsia="MS Mincho"/>
                <w:sz w:val="20"/>
              </w:rPr>
              <w:t>100</w:t>
            </w:r>
          </w:p>
          <w:p w14:paraId="582EEDCA" w14:textId="77777777" w:rsidR="008C0A68" w:rsidRDefault="008C0A68" w:rsidP="00E41AB9">
            <w:pPr>
              <w:jc w:val="center"/>
              <w:rPr>
                <w:rFonts w:eastAsia="MS Mincho"/>
                <w:sz w:val="20"/>
              </w:rPr>
            </w:pPr>
            <w:r>
              <w:rPr>
                <w:rFonts w:eastAsia="MS Mincho"/>
                <w:sz w:val="20"/>
              </w:rPr>
              <w:t>70</w:t>
            </w:r>
          </w:p>
          <w:p w14:paraId="1B654B68" w14:textId="77777777" w:rsidR="008C0A68" w:rsidRDefault="008C0A68" w:rsidP="00E41AB9">
            <w:pPr>
              <w:jc w:val="center"/>
              <w:rPr>
                <w:rFonts w:eastAsia="MS Mincho"/>
                <w:sz w:val="20"/>
              </w:rPr>
            </w:pPr>
            <w:r>
              <w:rPr>
                <w:rFonts w:eastAsia="MS Mincho"/>
                <w:sz w:val="20"/>
              </w:rPr>
              <w:t>- 5</w:t>
            </w:r>
          </w:p>
        </w:tc>
        <w:tc>
          <w:tcPr>
            <w:tcW w:w="754" w:type="pct"/>
            <w:tcBorders>
              <w:top w:val="single" w:sz="4" w:space="0" w:color="auto"/>
              <w:left w:val="single" w:sz="4" w:space="0" w:color="auto"/>
              <w:bottom w:val="single" w:sz="4" w:space="0" w:color="auto"/>
              <w:right w:val="single" w:sz="4" w:space="0" w:color="auto"/>
            </w:tcBorders>
            <w:vAlign w:val="center"/>
            <w:hideMark/>
          </w:tcPr>
          <w:p w14:paraId="180A9346" w14:textId="77777777" w:rsidR="008C0A68" w:rsidRDefault="008C0A68" w:rsidP="00E41AB9">
            <w:pPr>
              <w:jc w:val="center"/>
              <w:rPr>
                <w:rFonts w:eastAsia="MS Mincho"/>
                <w:sz w:val="20"/>
              </w:rPr>
            </w:pPr>
            <w:r>
              <w:rPr>
                <w:rFonts w:eastAsia="MS Mincho"/>
                <w:sz w:val="20"/>
              </w:rPr>
              <w:t>0,15</w:t>
            </w:r>
          </w:p>
        </w:tc>
      </w:tr>
      <w:tr w:rsidR="008C0A68" w14:paraId="540D82B2" w14:textId="77777777" w:rsidTr="00E41AB9">
        <w:trPr>
          <w:cantSplit/>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425F109F" w14:textId="77777777" w:rsidR="008C0A68" w:rsidRDefault="008C0A68" w:rsidP="00E41AB9">
            <w:pPr>
              <w:rPr>
                <w:rFonts w:eastAsia="MS Mincho"/>
                <w:sz w:val="20"/>
              </w:rPr>
            </w:pPr>
            <w:r>
              <w:rPr>
                <w:rFonts w:eastAsia="MS Mincho"/>
                <w:bCs/>
                <w:sz w:val="20"/>
              </w:rPr>
              <w:t>Показатели деловой активности</w:t>
            </w:r>
          </w:p>
        </w:tc>
      </w:tr>
      <w:tr w:rsidR="008C0A68" w14:paraId="3AEB19CA" w14:textId="77777777" w:rsidTr="00E41AB9">
        <w:trPr>
          <w:cantSplit/>
          <w:trHeight w:val="269"/>
        </w:trPr>
        <w:tc>
          <w:tcPr>
            <w:tcW w:w="228" w:type="pct"/>
            <w:tcBorders>
              <w:top w:val="single" w:sz="4" w:space="0" w:color="auto"/>
              <w:left w:val="single" w:sz="4" w:space="0" w:color="auto"/>
              <w:bottom w:val="single" w:sz="4" w:space="0" w:color="auto"/>
              <w:right w:val="single" w:sz="4" w:space="0" w:color="auto"/>
            </w:tcBorders>
            <w:vAlign w:val="center"/>
            <w:hideMark/>
          </w:tcPr>
          <w:p w14:paraId="255BC5D3" w14:textId="77777777" w:rsidR="008C0A68" w:rsidRDefault="008C0A68" w:rsidP="00E41AB9">
            <w:pPr>
              <w:rPr>
                <w:rFonts w:eastAsia="MS Mincho"/>
                <w:bCs/>
                <w:i/>
                <w:iCs/>
                <w:sz w:val="20"/>
              </w:rPr>
            </w:pPr>
            <w:r>
              <w:rPr>
                <w:rFonts w:eastAsia="MS Mincho"/>
                <w:bCs/>
                <w:i/>
                <w:iCs/>
                <w:sz w:val="20"/>
              </w:rPr>
              <w:t>К7</w:t>
            </w:r>
          </w:p>
        </w:tc>
        <w:tc>
          <w:tcPr>
            <w:tcW w:w="1296" w:type="pct"/>
            <w:tcBorders>
              <w:top w:val="single" w:sz="4" w:space="0" w:color="auto"/>
              <w:left w:val="single" w:sz="4" w:space="0" w:color="auto"/>
              <w:bottom w:val="single" w:sz="4" w:space="0" w:color="auto"/>
              <w:right w:val="single" w:sz="4" w:space="0" w:color="auto"/>
            </w:tcBorders>
            <w:vAlign w:val="center"/>
            <w:hideMark/>
          </w:tcPr>
          <w:p w14:paraId="4CC0FD5A" w14:textId="77777777" w:rsidR="008C0A68" w:rsidRDefault="008C0A68" w:rsidP="00E41AB9">
            <w:pPr>
              <w:rPr>
                <w:rFonts w:eastAsia="Calibri"/>
                <w:sz w:val="20"/>
              </w:rPr>
            </w:pPr>
            <w:r>
              <w:rPr>
                <w:sz w:val="20"/>
              </w:rPr>
              <w:t>Оборачиваемость товарно-материальных запасов</w:t>
            </w:r>
          </w:p>
        </w:tc>
        <w:tc>
          <w:tcPr>
            <w:tcW w:w="2301" w:type="pct"/>
            <w:gridSpan w:val="3"/>
            <w:tcBorders>
              <w:top w:val="single" w:sz="4" w:space="0" w:color="auto"/>
              <w:left w:val="single" w:sz="4" w:space="0" w:color="auto"/>
              <w:bottom w:val="single" w:sz="4" w:space="0" w:color="auto"/>
              <w:right w:val="single" w:sz="4" w:space="0" w:color="auto"/>
            </w:tcBorders>
            <w:hideMark/>
          </w:tcPr>
          <w:p w14:paraId="22C44D66" w14:textId="77777777" w:rsidR="008C0A68" w:rsidRDefault="008C0A68" w:rsidP="00E41AB9">
            <w:pPr>
              <w:jc w:val="center"/>
              <w:rPr>
                <w:rFonts w:eastAsia="MS Mincho"/>
                <w:sz w:val="20"/>
              </w:rPr>
            </w:pPr>
            <w:r>
              <w:rPr>
                <w:rFonts w:eastAsia="MS Mincho"/>
                <w:sz w:val="20"/>
              </w:rPr>
              <w:t>свыше 45</w:t>
            </w:r>
          </w:p>
          <w:p w14:paraId="5FDA0484" w14:textId="77777777" w:rsidR="008C0A68" w:rsidRDefault="008C0A68" w:rsidP="00E41AB9">
            <w:pPr>
              <w:jc w:val="center"/>
              <w:rPr>
                <w:rFonts w:eastAsia="MS Mincho"/>
                <w:sz w:val="20"/>
              </w:rPr>
            </w:pPr>
            <w:r>
              <w:rPr>
                <w:rFonts w:eastAsia="MS Mincho"/>
                <w:sz w:val="20"/>
              </w:rPr>
              <w:t>от 20 до 45</w:t>
            </w:r>
          </w:p>
          <w:p w14:paraId="49EC1A36" w14:textId="77777777" w:rsidR="008C0A68" w:rsidRDefault="008C0A68" w:rsidP="00E41AB9">
            <w:pPr>
              <w:jc w:val="center"/>
              <w:rPr>
                <w:rFonts w:eastAsia="MS Mincho"/>
                <w:sz w:val="20"/>
              </w:rPr>
            </w:pPr>
            <w:r>
              <w:rPr>
                <w:rFonts w:eastAsia="MS Mincho"/>
                <w:sz w:val="20"/>
              </w:rPr>
              <w:t>до 20</w:t>
            </w:r>
          </w:p>
        </w:tc>
        <w:tc>
          <w:tcPr>
            <w:tcW w:w="421" w:type="pct"/>
            <w:tcBorders>
              <w:top w:val="single" w:sz="4" w:space="0" w:color="auto"/>
              <w:left w:val="single" w:sz="4" w:space="0" w:color="auto"/>
              <w:bottom w:val="single" w:sz="4" w:space="0" w:color="auto"/>
              <w:right w:val="single" w:sz="4" w:space="0" w:color="auto"/>
            </w:tcBorders>
            <w:hideMark/>
          </w:tcPr>
          <w:p w14:paraId="01B676CB" w14:textId="77777777" w:rsidR="008C0A68" w:rsidRDefault="008C0A68" w:rsidP="00E41AB9">
            <w:pPr>
              <w:jc w:val="center"/>
              <w:rPr>
                <w:rFonts w:eastAsia="MS Mincho"/>
                <w:sz w:val="20"/>
              </w:rPr>
            </w:pPr>
            <w:r>
              <w:rPr>
                <w:rFonts w:eastAsia="MS Mincho"/>
                <w:sz w:val="20"/>
              </w:rPr>
              <w:t>40</w:t>
            </w:r>
          </w:p>
          <w:p w14:paraId="4FF7EFCF" w14:textId="77777777" w:rsidR="008C0A68" w:rsidRDefault="008C0A68" w:rsidP="00E41AB9">
            <w:pPr>
              <w:jc w:val="center"/>
              <w:rPr>
                <w:rFonts w:eastAsia="MS Mincho"/>
                <w:sz w:val="20"/>
              </w:rPr>
            </w:pPr>
            <w:r>
              <w:rPr>
                <w:rFonts w:eastAsia="MS Mincho"/>
                <w:sz w:val="20"/>
              </w:rPr>
              <w:t>70</w:t>
            </w:r>
          </w:p>
          <w:p w14:paraId="75B7BC87" w14:textId="77777777" w:rsidR="008C0A68" w:rsidRDefault="008C0A68" w:rsidP="00E41AB9">
            <w:pPr>
              <w:jc w:val="center"/>
              <w:rPr>
                <w:rFonts w:eastAsia="MS Mincho"/>
                <w:sz w:val="20"/>
              </w:rPr>
            </w:pPr>
            <w:r>
              <w:rPr>
                <w:rFonts w:eastAsia="MS Mincho"/>
                <w:sz w:val="20"/>
              </w:rPr>
              <w:t>100</w:t>
            </w:r>
          </w:p>
        </w:tc>
        <w:tc>
          <w:tcPr>
            <w:tcW w:w="754" w:type="pct"/>
            <w:tcBorders>
              <w:top w:val="single" w:sz="4" w:space="0" w:color="auto"/>
              <w:left w:val="single" w:sz="4" w:space="0" w:color="auto"/>
              <w:bottom w:val="single" w:sz="4" w:space="0" w:color="auto"/>
              <w:right w:val="single" w:sz="4" w:space="0" w:color="auto"/>
            </w:tcBorders>
            <w:vAlign w:val="center"/>
            <w:hideMark/>
          </w:tcPr>
          <w:p w14:paraId="24C88034" w14:textId="77777777" w:rsidR="008C0A68" w:rsidRDefault="008C0A68" w:rsidP="00E41AB9">
            <w:pPr>
              <w:jc w:val="center"/>
              <w:rPr>
                <w:rFonts w:eastAsia="MS Mincho"/>
                <w:sz w:val="20"/>
              </w:rPr>
            </w:pPr>
            <w:r>
              <w:rPr>
                <w:rFonts w:eastAsia="MS Mincho"/>
                <w:sz w:val="20"/>
              </w:rPr>
              <w:t>0,05</w:t>
            </w:r>
          </w:p>
        </w:tc>
      </w:tr>
      <w:tr w:rsidR="008C0A68" w14:paraId="5BB219A3" w14:textId="77777777" w:rsidTr="00E41AB9">
        <w:trPr>
          <w:cantSplit/>
          <w:trHeight w:val="269"/>
        </w:trPr>
        <w:tc>
          <w:tcPr>
            <w:tcW w:w="228" w:type="pct"/>
            <w:tcBorders>
              <w:top w:val="single" w:sz="4" w:space="0" w:color="auto"/>
              <w:left w:val="single" w:sz="4" w:space="0" w:color="auto"/>
              <w:bottom w:val="single" w:sz="4" w:space="0" w:color="auto"/>
              <w:right w:val="single" w:sz="4" w:space="0" w:color="auto"/>
            </w:tcBorders>
            <w:vAlign w:val="center"/>
            <w:hideMark/>
          </w:tcPr>
          <w:p w14:paraId="68493E7C" w14:textId="77777777" w:rsidR="008C0A68" w:rsidRDefault="008C0A68" w:rsidP="00E41AB9">
            <w:pPr>
              <w:rPr>
                <w:rFonts w:eastAsia="MS Mincho"/>
                <w:bCs/>
                <w:i/>
                <w:iCs/>
                <w:sz w:val="20"/>
              </w:rPr>
            </w:pPr>
            <w:r>
              <w:rPr>
                <w:rFonts w:eastAsia="MS Mincho"/>
                <w:bCs/>
                <w:i/>
                <w:iCs/>
                <w:sz w:val="20"/>
              </w:rPr>
              <w:t>К8</w:t>
            </w:r>
          </w:p>
        </w:tc>
        <w:tc>
          <w:tcPr>
            <w:tcW w:w="1296" w:type="pct"/>
            <w:tcBorders>
              <w:top w:val="single" w:sz="4" w:space="0" w:color="auto"/>
              <w:left w:val="single" w:sz="4" w:space="0" w:color="auto"/>
              <w:bottom w:val="single" w:sz="4" w:space="0" w:color="auto"/>
              <w:right w:val="single" w:sz="4" w:space="0" w:color="auto"/>
            </w:tcBorders>
            <w:vAlign w:val="center"/>
            <w:hideMark/>
          </w:tcPr>
          <w:p w14:paraId="5CEF0EA9" w14:textId="77777777" w:rsidR="008C0A68" w:rsidRDefault="008C0A68" w:rsidP="00E41AB9">
            <w:pPr>
              <w:rPr>
                <w:rFonts w:eastAsia="Calibri"/>
                <w:sz w:val="20"/>
              </w:rPr>
            </w:pPr>
            <w:r>
              <w:rPr>
                <w:sz w:val="20"/>
              </w:rPr>
              <w:t>Оборачиваемость дебиторской задолженности (в днях)</w:t>
            </w:r>
          </w:p>
        </w:tc>
        <w:tc>
          <w:tcPr>
            <w:tcW w:w="2301" w:type="pct"/>
            <w:gridSpan w:val="3"/>
            <w:tcBorders>
              <w:top w:val="single" w:sz="4" w:space="0" w:color="auto"/>
              <w:left w:val="single" w:sz="4" w:space="0" w:color="auto"/>
              <w:bottom w:val="single" w:sz="4" w:space="0" w:color="auto"/>
              <w:right w:val="single" w:sz="4" w:space="0" w:color="auto"/>
            </w:tcBorders>
            <w:hideMark/>
          </w:tcPr>
          <w:p w14:paraId="5A124DA6" w14:textId="77777777" w:rsidR="008C0A68" w:rsidRDefault="008C0A68" w:rsidP="00E41AB9">
            <w:pPr>
              <w:jc w:val="center"/>
              <w:rPr>
                <w:rFonts w:eastAsia="MS Mincho"/>
                <w:sz w:val="20"/>
              </w:rPr>
            </w:pPr>
            <w:r>
              <w:rPr>
                <w:rFonts w:eastAsia="MS Mincho"/>
                <w:sz w:val="20"/>
              </w:rPr>
              <w:t>свыше 60</w:t>
            </w:r>
          </w:p>
          <w:p w14:paraId="0B39B47F" w14:textId="77777777" w:rsidR="008C0A68" w:rsidRDefault="008C0A68" w:rsidP="00E41AB9">
            <w:pPr>
              <w:jc w:val="center"/>
              <w:rPr>
                <w:rFonts w:eastAsia="MS Mincho"/>
                <w:sz w:val="20"/>
              </w:rPr>
            </w:pPr>
            <w:r>
              <w:rPr>
                <w:rFonts w:eastAsia="MS Mincho"/>
                <w:sz w:val="20"/>
              </w:rPr>
              <w:t>от 30 до 60</w:t>
            </w:r>
          </w:p>
          <w:p w14:paraId="3FCE21C9" w14:textId="77777777" w:rsidR="008C0A68" w:rsidRDefault="008C0A68" w:rsidP="00E41AB9">
            <w:pPr>
              <w:jc w:val="center"/>
              <w:rPr>
                <w:rFonts w:eastAsia="MS Mincho"/>
                <w:sz w:val="20"/>
              </w:rPr>
            </w:pPr>
            <w:r>
              <w:rPr>
                <w:rFonts w:eastAsia="MS Mincho"/>
                <w:sz w:val="20"/>
              </w:rPr>
              <w:t>до 30</w:t>
            </w:r>
          </w:p>
        </w:tc>
        <w:tc>
          <w:tcPr>
            <w:tcW w:w="421" w:type="pct"/>
            <w:tcBorders>
              <w:top w:val="single" w:sz="4" w:space="0" w:color="auto"/>
              <w:left w:val="single" w:sz="4" w:space="0" w:color="auto"/>
              <w:bottom w:val="single" w:sz="4" w:space="0" w:color="auto"/>
              <w:right w:val="single" w:sz="4" w:space="0" w:color="auto"/>
            </w:tcBorders>
            <w:hideMark/>
          </w:tcPr>
          <w:p w14:paraId="61F2F7F4" w14:textId="77777777" w:rsidR="008C0A68" w:rsidRDefault="008C0A68" w:rsidP="00E41AB9">
            <w:pPr>
              <w:jc w:val="center"/>
              <w:rPr>
                <w:rFonts w:eastAsia="MS Mincho"/>
                <w:sz w:val="20"/>
              </w:rPr>
            </w:pPr>
            <w:r>
              <w:rPr>
                <w:rFonts w:eastAsia="MS Mincho"/>
                <w:sz w:val="20"/>
              </w:rPr>
              <w:t>40</w:t>
            </w:r>
          </w:p>
          <w:p w14:paraId="411F46F9" w14:textId="77777777" w:rsidR="008C0A68" w:rsidRDefault="008C0A68" w:rsidP="00E41AB9">
            <w:pPr>
              <w:jc w:val="center"/>
              <w:rPr>
                <w:rFonts w:eastAsia="MS Mincho"/>
                <w:sz w:val="20"/>
              </w:rPr>
            </w:pPr>
            <w:r>
              <w:rPr>
                <w:rFonts w:eastAsia="MS Mincho"/>
                <w:sz w:val="20"/>
              </w:rPr>
              <w:t>70</w:t>
            </w:r>
          </w:p>
          <w:p w14:paraId="67F2978B" w14:textId="77777777" w:rsidR="008C0A68" w:rsidRDefault="008C0A68" w:rsidP="00E41AB9">
            <w:pPr>
              <w:jc w:val="center"/>
              <w:rPr>
                <w:rFonts w:eastAsia="MS Mincho"/>
                <w:sz w:val="20"/>
              </w:rPr>
            </w:pPr>
            <w:r>
              <w:rPr>
                <w:rFonts w:eastAsia="MS Mincho"/>
                <w:sz w:val="20"/>
              </w:rPr>
              <w:t>100</w:t>
            </w:r>
          </w:p>
        </w:tc>
        <w:tc>
          <w:tcPr>
            <w:tcW w:w="754" w:type="pct"/>
            <w:tcBorders>
              <w:top w:val="single" w:sz="4" w:space="0" w:color="auto"/>
              <w:left w:val="single" w:sz="4" w:space="0" w:color="auto"/>
              <w:bottom w:val="single" w:sz="4" w:space="0" w:color="auto"/>
              <w:right w:val="single" w:sz="4" w:space="0" w:color="auto"/>
            </w:tcBorders>
            <w:vAlign w:val="center"/>
            <w:hideMark/>
          </w:tcPr>
          <w:p w14:paraId="60ACAE93" w14:textId="77777777" w:rsidR="008C0A68" w:rsidRDefault="008C0A68" w:rsidP="00E41AB9">
            <w:pPr>
              <w:jc w:val="center"/>
              <w:rPr>
                <w:rFonts w:eastAsia="MS Mincho"/>
                <w:sz w:val="20"/>
              </w:rPr>
            </w:pPr>
            <w:r>
              <w:rPr>
                <w:rFonts w:eastAsia="MS Mincho"/>
                <w:sz w:val="20"/>
              </w:rPr>
              <w:t>0,05</w:t>
            </w:r>
          </w:p>
        </w:tc>
      </w:tr>
      <w:tr w:rsidR="008C0A68" w14:paraId="09F9CD9E" w14:textId="77777777" w:rsidTr="00E41AB9">
        <w:trPr>
          <w:cantSplit/>
          <w:trHeight w:val="269"/>
        </w:trPr>
        <w:tc>
          <w:tcPr>
            <w:tcW w:w="228" w:type="pct"/>
            <w:tcBorders>
              <w:top w:val="single" w:sz="4" w:space="0" w:color="auto"/>
              <w:left w:val="single" w:sz="4" w:space="0" w:color="auto"/>
              <w:bottom w:val="single" w:sz="4" w:space="0" w:color="auto"/>
              <w:right w:val="single" w:sz="4" w:space="0" w:color="auto"/>
            </w:tcBorders>
            <w:vAlign w:val="center"/>
            <w:hideMark/>
          </w:tcPr>
          <w:p w14:paraId="5A8E730E" w14:textId="77777777" w:rsidR="008C0A68" w:rsidRDefault="008C0A68" w:rsidP="00E41AB9">
            <w:pPr>
              <w:rPr>
                <w:rFonts w:eastAsia="MS Mincho"/>
                <w:bCs/>
                <w:i/>
                <w:iCs/>
                <w:sz w:val="20"/>
              </w:rPr>
            </w:pPr>
            <w:r>
              <w:rPr>
                <w:rFonts w:eastAsia="MS Mincho"/>
                <w:bCs/>
                <w:i/>
                <w:iCs/>
                <w:sz w:val="20"/>
              </w:rPr>
              <w:t>К9</w:t>
            </w:r>
          </w:p>
        </w:tc>
        <w:tc>
          <w:tcPr>
            <w:tcW w:w="1296" w:type="pct"/>
            <w:tcBorders>
              <w:top w:val="single" w:sz="4" w:space="0" w:color="auto"/>
              <w:left w:val="single" w:sz="4" w:space="0" w:color="auto"/>
              <w:bottom w:val="single" w:sz="4" w:space="0" w:color="auto"/>
              <w:right w:val="single" w:sz="4" w:space="0" w:color="auto"/>
            </w:tcBorders>
            <w:vAlign w:val="center"/>
            <w:hideMark/>
          </w:tcPr>
          <w:p w14:paraId="25E0CF0F" w14:textId="77777777" w:rsidR="008C0A68" w:rsidRDefault="008C0A68" w:rsidP="00E41AB9">
            <w:pPr>
              <w:rPr>
                <w:rFonts w:eastAsia="Calibri"/>
                <w:sz w:val="20"/>
              </w:rPr>
            </w:pPr>
            <w:r>
              <w:rPr>
                <w:sz w:val="20"/>
              </w:rPr>
              <w:t>Оборачиваемость кредиторской задолженности (в днях)</w:t>
            </w:r>
          </w:p>
        </w:tc>
        <w:tc>
          <w:tcPr>
            <w:tcW w:w="2301" w:type="pct"/>
            <w:gridSpan w:val="3"/>
            <w:tcBorders>
              <w:top w:val="single" w:sz="4" w:space="0" w:color="auto"/>
              <w:left w:val="single" w:sz="4" w:space="0" w:color="auto"/>
              <w:bottom w:val="single" w:sz="4" w:space="0" w:color="auto"/>
              <w:right w:val="single" w:sz="4" w:space="0" w:color="auto"/>
            </w:tcBorders>
            <w:hideMark/>
          </w:tcPr>
          <w:p w14:paraId="3C74264D" w14:textId="77777777" w:rsidR="008C0A68" w:rsidRDefault="008C0A68" w:rsidP="00E41AB9">
            <w:pPr>
              <w:jc w:val="center"/>
              <w:rPr>
                <w:rFonts w:eastAsia="MS Mincho"/>
                <w:sz w:val="20"/>
              </w:rPr>
            </w:pPr>
            <w:r>
              <w:rPr>
                <w:rFonts w:eastAsia="MS Mincho"/>
                <w:sz w:val="20"/>
              </w:rPr>
              <w:t>свыше 60</w:t>
            </w:r>
          </w:p>
          <w:p w14:paraId="4EEE261F" w14:textId="77777777" w:rsidR="008C0A68" w:rsidRDefault="008C0A68" w:rsidP="00E41AB9">
            <w:pPr>
              <w:jc w:val="center"/>
              <w:rPr>
                <w:rFonts w:eastAsia="MS Mincho"/>
                <w:sz w:val="20"/>
              </w:rPr>
            </w:pPr>
            <w:r>
              <w:rPr>
                <w:rFonts w:eastAsia="MS Mincho"/>
                <w:sz w:val="20"/>
              </w:rPr>
              <w:t>от 30 до 60</w:t>
            </w:r>
          </w:p>
          <w:p w14:paraId="21395E69" w14:textId="77777777" w:rsidR="008C0A68" w:rsidRDefault="008C0A68" w:rsidP="00E41AB9">
            <w:pPr>
              <w:jc w:val="center"/>
              <w:rPr>
                <w:rFonts w:eastAsia="MS Mincho"/>
                <w:sz w:val="20"/>
              </w:rPr>
            </w:pPr>
            <w:r>
              <w:rPr>
                <w:rFonts w:eastAsia="MS Mincho"/>
                <w:sz w:val="20"/>
              </w:rPr>
              <w:t>до 30</w:t>
            </w:r>
          </w:p>
        </w:tc>
        <w:tc>
          <w:tcPr>
            <w:tcW w:w="421" w:type="pct"/>
            <w:tcBorders>
              <w:top w:val="single" w:sz="4" w:space="0" w:color="auto"/>
              <w:left w:val="single" w:sz="4" w:space="0" w:color="auto"/>
              <w:bottom w:val="single" w:sz="4" w:space="0" w:color="auto"/>
              <w:right w:val="single" w:sz="4" w:space="0" w:color="auto"/>
            </w:tcBorders>
            <w:hideMark/>
          </w:tcPr>
          <w:p w14:paraId="30E7B23E" w14:textId="77777777" w:rsidR="008C0A68" w:rsidRDefault="008C0A68" w:rsidP="00E41AB9">
            <w:pPr>
              <w:jc w:val="center"/>
              <w:rPr>
                <w:rFonts w:eastAsia="MS Mincho"/>
                <w:sz w:val="20"/>
              </w:rPr>
            </w:pPr>
            <w:r>
              <w:rPr>
                <w:rFonts w:eastAsia="MS Mincho"/>
                <w:sz w:val="20"/>
              </w:rPr>
              <w:t>40</w:t>
            </w:r>
          </w:p>
          <w:p w14:paraId="43ADD508" w14:textId="77777777" w:rsidR="008C0A68" w:rsidRDefault="008C0A68" w:rsidP="00E41AB9">
            <w:pPr>
              <w:jc w:val="center"/>
              <w:rPr>
                <w:rFonts w:eastAsia="MS Mincho"/>
                <w:sz w:val="20"/>
              </w:rPr>
            </w:pPr>
            <w:r>
              <w:rPr>
                <w:rFonts w:eastAsia="MS Mincho"/>
                <w:sz w:val="20"/>
              </w:rPr>
              <w:t>70</w:t>
            </w:r>
          </w:p>
          <w:p w14:paraId="7ED26BF2" w14:textId="77777777" w:rsidR="008C0A68" w:rsidRDefault="008C0A68" w:rsidP="00E41AB9">
            <w:pPr>
              <w:jc w:val="center"/>
              <w:rPr>
                <w:rFonts w:eastAsia="MS Mincho"/>
                <w:sz w:val="20"/>
              </w:rPr>
            </w:pPr>
            <w:r>
              <w:rPr>
                <w:rFonts w:eastAsia="MS Mincho"/>
                <w:sz w:val="20"/>
              </w:rPr>
              <w:t>100</w:t>
            </w:r>
          </w:p>
        </w:tc>
        <w:tc>
          <w:tcPr>
            <w:tcW w:w="754" w:type="pct"/>
            <w:tcBorders>
              <w:top w:val="single" w:sz="4" w:space="0" w:color="auto"/>
              <w:left w:val="single" w:sz="4" w:space="0" w:color="auto"/>
              <w:bottom w:val="single" w:sz="4" w:space="0" w:color="auto"/>
              <w:right w:val="single" w:sz="4" w:space="0" w:color="auto"/>
            </w:tcBorders>
            <w:vAlign w:val="center"/>
            <w:hideMark/>
          </w:tcPr>
          <w:p w14:paraId="69840D29" w14:textId="77777777" w:rsidR="008C0A68" w:rsidRDefault="008C0A68" w:rsidP="00E41AB9">
            <w:pPr>
              <w:jc w:val="center"/>
              <w:rPr>
                <w:rFonts w:eastAsia="MS Mincho"/>
                <w:sz w:val="20"/>
              </w:rPr>
            </w:pPr>
            <w:r>
              <w:rPr>
                <w:rFonts w:eastAsia="MS Mincho"/>
                <w:sz w:val="20"/>
              </w:rPr>
              <w:t>0,05</w:t>
            </w:r>
          </w:p>
        </w:tc>
      </w:tr>
    </w:tbl>
    <w:p w14:paraId="4F51D334" w14:textId="77777777" w:rsidR="008C0A68" w:rsidRDefault="008C0A68" w:rsidP="008C0A68">
      <w:pPr>
        <w:pStyle w:val="a7"/>
        <w:spacing w:after="120" w:line="360" w:lineRule="auto"/>
        <w:ind w:left="0" w:firstLine="567"/>
        <w:jc w:val="both"/>
        <w:rPr>
          <w:rFonts w:ascii="Times New Roman" w:eastAsia="MS Mincho" w:hAnsi="Times New Roman"/>
          <w:sz w:val="16"/>
          <w:szCs w:val="16"/>
        </w:rPr>
      </w:pPr>
    </w:p>
    <w:p w14:paraId="1120638F" w14:textId="77777777" w:rsidR="008C0A68" w:rsidRDefault="008C0A68" w:rsidP="008C0A68">
      <w:pPr>
        <w:keepNext/>
        <w:ind w:firstLine="567"/>
        <w:jc w:val="right"/>
        <w:rPr>
          <w:rFonts w:eastAsia="Calibri"/>
          <w:szCs w:val="24"/>
        </w:rPr>
      </w:pPr>
      <w:r>
        <w:rPr>
          <w:szCs w:val="24"/>
        </w:rPr>
        <w:t>Таблица 2.2. Коэффициенты для некредитных финансовых организаций (НФО)</w:t>
      </w:r>
    </w:p>
    <w:tbl>
      <w:tblPr>
        <w:tblpPr w:leftFromText="180" w:rightFromText="180" w:bottomFromText="160" w:vertAnchor="text" w:horzAnchor="margin" w:tblpXSpec="center" w:tblpY="183"/>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4419"/>
        <w:gridCol w:w="1765"/>
        <w:gridCol w:w="815"/>
        <w:gridCol w:w="1502"/>
      </w:tblGrid>
      <w:tr w:rsidR="008C0A68" w14:paraId="732B562A" w14:textId="77777777" w:rsidTr="00E41AB9">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14:paraId="22982D7B" w14:textId="77777777" w:rsidR="008C0A68" w:rsidRDefault="008C0A68" w:rsidP="00E41AB9">
            <w:pPr>
              <w:jc w:val="center"/>
              <w:rPr>
                <w:rFonts w:eastAsia="MS Mincho"/>
                <w:bCs/>
                <w:sz w:val="20"/>
              </w:rPr>
            </w:pPr>
            <w:r>
              <w:rPr>
                <w:rFonts w:eastAsia="MS Mincho"/>
                <w:bCs/>
                <w:sz w:val="20"/>
              </w:rPr>
              <w:t>№</w:t>
            </w:r>
          </w:p>
        </w:tc>
        <w:tc>
          <w:tcPr>
            <w:tcW w:w="2457" w:type="pct"/>
            <w:tcBorders>
              <w:top w:val="single" w:sz="4" w:space="0" w:color="auto"/>
              <w:left w:val="single" w:sz="4" w:space="0" w:color="auto"/>
              <w:bottom w:val="single" w:sz="4" w:space="0" w:color="auto"/>
              <w:right w:val="single" w:sz="4" w:space="0" w:color="auto"/>
            </w:tcBorders>
            <w:vAlign w:val="center"/>
            <w:hideMark/>
          </w:tcPr>
          <w:p w14:paraId="43159AEE" w14:textId="77777777" w:rsidR="008C0A68" w:rsidRDefault="008C0A68" w:rsidP="00E41AB9">
            <w:pPr>
              <w:jc w:val="center"/>
              <w:rPr>
                <w:rFonts w:eastAsia="MS Mincho"/>
                <w:bCs/>
                <w:sz w:val="20"/>
              </w:rPr>
            </w:pPr>
            <w:r>
              <w:rPr>
                <w:rFonts w:eastAsia="MS Mincho"/>
                <w:bCs/>
                <w:sz w:val="20"/>
              </w:rPr>
              <w:t>Наименование</w:t>
            </w:r>
          </w:p>
          <w:p w14:paraId="2EE56EBC" w14:textId="77777777" w:rsidR="008C0A68" w:rsidRDefault="008C0A68" w:rsidP="00E41AB9">
            <w:pPr>
              <w:jc w:val="center"/>
              <w:rPr>
                <w:rFonts w:eastAsia="MS Mincho"/>
                <w:bCs/>
                <w:sz w:val="20"/>
              </w:rPr>
            </w:pPr>
            <w:r>
              <w:rPr>
                <w:rFonts w:eastAsia="MS Mincho"/>
                <w:bCs/>
                <w:sz w:val="20"/>
              </w:rPr>
              <w:t>коэффициента</w:t>
            </w:r>
          </w:p>
        </w:tc>
        <w:tc>
          <w:tcPr>
            <w:tcW w:w="984" w:type="pct"/>
            <w:tcBorders>
              <w:top w:val="single" w:sz="4" w:space="0" w:color="auto"/>
              <w:left w:val="single" w:sz="4" w:space="0" w:color="auto"/>
              <w:bottom w:val="single" w:sz="4" w:space="0" w:color="auto"/>
              <w:right w:val="single" w:sz="4" w:space="0" w:color="auto"/>
            </w:tcBorders>
            <w:vAlign w:val="center"/>
            <w:hideMark/>
          </w:tcPr>
          <w:p w14:paraId="32D5E6B5" w14:textId="77777777" w:rsidR="008C0A68" w:rsidRDefault="008C0A68" w:rsidP="00E41AB9">
            <w:pPr>
              <w:jc w:val="center"/>
              <w:rPr>
                <w:rFonts w:eastAsia="Calibri"/>
                <w:bCs/>
                <w:spacing w:val="-3"/>
                <w:sz w:val="20"/>
              </w:rPr>
            </w:pPr>
            <w:r>
              <w:rPr>
                <w:rFonts w:eastAsia="MS Mincho"/>
                <w:bCs/>
                <w:sz w:val="20"/>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14:paraId="5300815F" w14:textId="77777777" w:rsidR="008C0A68" w:rsidRDefault="008C0A68" w:rsidP="00E41AB9">
            <w:pPr>
              <w:jc w:val="center"/>
              <w:rPr>
                <w:bCs/>
                <w:spacing w:val="-3"/>
                <w:sz w:val="20"/>
              </w:rPr>
            </w:pPr>
            <w:r>
              <w:rPr>
                <w:bCs/>
                <w:spacing w:val="-3"/>
                <w:sz w:val="20"/>
              </w:rPr>
              <w:t>Баллы,</w:t>
            </w:r>
          </w:p>
          <w:p w14:paraId="55700EA0" w14:textId="77777777" w:rsidR="008C0A68" w:rsidRDefault="008C0A68" w:rsidP="00E41AB9">
            <w:pPr>
              <w:jc w:val="center"/>
              <w:rPr>
                <w:bCs/>
                <w:spacing w:val="-3"/>
                <w:sz w:val="20"/>
              </w:rPr>
            </w:pPr>
            <w:r>
              <w:rPr>
                <w:bCs/>
                <w:sz w:val="20"/>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14:paraId="46EDE64B" w14:textId="77777777" w:rsidR="008C0A68" w:rsidRDefault="008C0A68" w:rsidP="00E41AB9">
            <w:pPr>
              <w:jc w:val="center"/>
              <w:rPr>
                <w:bCs/>
                <w:sz w:val="20"/>
              </w:rPr>
            </w:pPr>
            <w:r>
              <w:rPr>
                <w:bCs/>
                <w:sz w:val="20"/>
              </w:rPr>
              <w:t>Вес коэффициента,</w:t>
            </w:r>
          </w:p>
          <w:p w14:paraId="2FA8A0BE" w14:textId="77777777" w:rsidR="008C0A68" w:rsidRDefault="008C0A68" w:rsidP="00E41AB9">
            <w:pPr>
              <w:jc w:val="center"/>
              <w:rPr>
                <w:rFonts w:eastAsia="MS Mincho"/>
                <w:bCs/>
                <w:sz w:val="20"/>
              </w:rPr>
            </w:pPr>
            <w:r>
              <w:rPr>
                <w:bCs/>
                <w:smallCaps/>
                <w:sz w:val="20"/>
                <w:lang w:val="en-US"/>
              </w:rPr>
              <w:t>P</w:t>
            </w:r>
            <w:r>
              <w:rPr>
                <w:bCs/>
                <w:sz w:val="20"/>
                <w:lang w:val="en-US"/>
              </w:rPr>
              <w:t>i</w:t>
            </w:r>
          </w:p>
        </w:tc>
      </w:tr>
      <w:tr w:rsidR="008C0A68" w14:paraId="5F497958" w14:textId="77777777" w:rsidTr="00E41AB9">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0956B7D" w14:textId="77777777" w:rsidR="008C0A68" w:rsidRDefault="008C0A68" w:rsidP="00E41AB9">
            <w:pPr>
              <w:rPr>
                <w:rFonts w:eastAsia="Calibri"/>
                <w:bCs/>
                <w:sz w:val="20"/>
              </w:rPr>
            </w:pPr>
            <w:r>
              <w:rPr>
                <w:bCs/>
                <w:sz w:val="20"/>
              </w:rPr>
              <w:t>Показатели финансовой устойчивости (независимости)</w:t>
            </w:r>
          </w:p>
        </w:tc>
      </w:tr>
      <w:tr w:rsidR="008C0A68" w14:paraId="424A3594" w14:textId="77777777" w:rsidTr="00E41AB9">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14:paraId="20C10421" w14:textId="77777777" w:rsidR="008C0A68" w:rsidRDefault="008C0A68" w:rsidP="00E41AB9">
            <w:pPr>
              <w:rPr>
                <w:rFonts w:eastAsia="MS Mincho"/>
                <w:bCs/>
                <w:i/>
                <w:iCs/>
                <w:sz w:val="20"/>
              </w:rPr>
            </w:pPr>
            <w:r>
              <w:rPr>
                <w:rFonts w:eastAsia="MS Mincho"/>
                <w:bCs/>
                <w:i/>
                <w:iCs/>
                <w:sz w:val="20"/>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14:paraId="27C833B1" w14:textId="77777777" w:rsidR="008C0A68" w:rsidRDefault="008C0A68" w:rsidP="00E41AB9">
            <w:pPr>
              <w:rPr>
                <w:rFonts w:eastAsia="Calibri"/>
                <w:sz w:val="20"/>
              </w:rPr>
            </w:pPr>
            <w:r>
              <w:rPr>
                <w:sz w:val="20"/>
              </w:rPr>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14:paraId="4673CEA3" w14:textId="77777777" w:rsidR="008C0A68" w:rsidRDefault="008C0A68" w:rsidP="00E41AB9">
            <w:pPr>
              <w:jc w:val="center"/>
              <w:rPr>
                <w:rFonts w:eastAsia="MS Mincho"/>
                <w:sz w:val="20"/>
              </w:rPr>
            </w:pPr>
            <w:r>
              <w:rPr>
                <w:rFonts w:eastAsia="MS Mincho"/>
                <w:sz w:val="20"/>
              </w:rPr>
              <w:t>свыше 0,15</w:t>
            </w:r>
          </w:p>
          <w:p w14:paraId="63CB2C0A" w14:textId="77777777" w:rsidR="008C0A68" w:rsidRDefault="008C0A68" w:rsidP="00E41AB9">
            <w:pPr>
              <w:jc w:val="center"/>
              <w:rPr>
                <w:rFonts w:eastAsia="MS Mincho"/>
                <w:sz w:val="20"/>
              </w:rPr>
            </w:pPr>
            <w:r>
              <w:rPr>
                <w:rFonts w:eastAsia="MS Mincho"/>
                <w:sz w:val="20"/>
              </w:rPr>
              <w:t>от 0,1 до 0,15</w:t>
            </w:r>
          </w:p>
          <w:p w14:paraId="046559E6" w14:textId="77777777" w:rsidR="008C0A68" w:rsidRDefault="008C0A68" w:rsidP="00E41AB9">
            <w:pPr>
              <w:jc w:val="center"/>
              <w:rPr>
                <w:rFonts w:eastAsia="MS Mincho"/>
                <w:sz w:val="20"/>
              </w:rPr>
            </w:pPr>
            <w:r>
              <w:rPr>
                <w:rFonts w:eastAsia="MS Mincho"/>
                <w:sz w:val="20"/>
              </w:rPr>
              <w:t>от 0,08 до 0,1</w:t>
            </w:r>
          </w:p>
          <w:p w14:paraId="3F366D00" w14:textId="77777777" w:rsidR="008C0A68" w:rsidRDefault="008C0A68" w:rsidP="00E41AB9">
            <w:pPr>
              <w:jc w:val="center"/>
              <w:rPr>
                <w:rFonts w:eastAsia="MS Mincho"/>
                <w:sz w:val="20"/>
              </w:rPr>
            </w:pPr>
            <w:r>
              <w:rPr>
                <w:rFonts w:eastAsia="MS Mincho"/>
                <w:sz w:val="20"/>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14:paraId="2600656E" w14:textId="77777777" w:rsidR="008C0A68" w:rsidRDefault="008C0A68" w:rsidP="00E41AB9">
            <w:pPr>
              <w:jc w:val="center"/>
              <w:rPr>
                <w:rFonts w:eastAsia="MS Mincho"/>
                <w:sz w:val="20"/>
              </w:rPr>
            </w:pPr>
            <w:r>
              <w:rPr>
                <w:rFonts w:eastAsia="MS Mincho"/>
                <w:sz w:val="20"/>
              </w:rPr>
              <w:t>100</w:t>
            </w:r>
          </w:p>
          <w:p w14:paraId="783FEAEC" w14:textId="77777777" w:rsidR="008C0A68" w:rsidRDefault="008C0A68" w:rsidP="00E41AB9">
            <w:pPr>
              <w:jc w:val="center"/>
              <w:rPr>
                <w:rFonts w:eastAsia="MS Mincho"/>
                <w:sz w:val="20"/>
              </w:rPr>
            </w:pPr>
            <w:r>
              <w:rPr>
                <w:rFonts w:eastAsia="MS Mincho"/>
                <w:sz w:val="20"/>
              </w:rPr>
              <w:t>70</w:t>
            </w:r>
          </w:p>
          <w:p w14:paraId="47246841" w14:textId="77777777" w:rsidR="008C0A68" w:rsidRDefault="008C0A68" w:rsidP="00E41AB9">
            <w:pPr>
              <w:jc w:val="center"/>
              <w:rPr>
                <w:rFonts w:eastAsia="MS Mincho"/>
                <w:sz w:val="20"/>
              </w:rPr>
            </w:pPr>
            <w:r>
              <w:rPr>
                <w:rFonts w:eastAsia="MS Mincho"/>
                <w:sz w:val="20"/>
              </w:rPr>
              <w:t>10</w:t>
            </w:r>
          </w:p>
          <w:p w14:paraId="5AC05DA7" w14:textId="77777777" w:rsidR="008C0A68" w:rsidRDefault="008C0A68" w:rsidP="00E41AB9">
            <w:pPr>
              <w:jc w:val="center"/>
              <w:rPr>
                <w:rFonts w:eastAsia="MS Mincho"/>
                <w:sz w:val="20"/>
              </w:rPr>
            </w:pPr>
            <w:r>
              <w:rPr>
                <w:rFonts w:eastAsia="MS Mincho"/>
                <w:sz w:val="20"/>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14:paraId="20D5B9EB" w14:textId="77777777" w:rsidR="008C0A68" w:rsidRDefault="008C0A68" w:rsidP="00E41AB9">
            <w:pPr>
              <w:jc w:val="center"/>
              <w:rPr>
                <w:rFonts w:eastAsia="MS Mincho"/>
                <w:sz w:val="20"/>
              </w:rPr>
            </w:pPr>
            <w:r>
              <w:rPr>
                <w:rFonts w:eastAsia="MS Mincho"/>
                <w:sz w:val="20"/>
              </w:rPr>
              <w:t>0,15</w:t>
            </w:r>
          </w:p>
        </w:tc>
      </w:tr>
      <w:tr w:rsidR="008C0A68" w14:paraId="29164B6A" w14:textId="77777777" w:rsidTr="00E41AB9">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14:paraId="33F63400" w14:textId="77777777" w:rsidR="008C0A68" w:rsidRDefault="008C0A68" w:rsidP="00E41AB9">
            <w:pPr>
              <w:rPr>
                <w:rFonts w:eastAsia="MS Mincho"/>
                <w:bCs/>
                <w:i/>
                <w:iCs/>
                <w:sz w:val="20"/>
              </w:rPr>
            </w:pPr>
            <w:r>
              <w:rPr>
                <w:rFonts w:eastAsia="MS Mincho"/>
                <w:bCs/>
                <w:i/>
                <w:iCs/>
                <w:sz w:val="20"/>
              </w:rPr>
              <w:lastRenderedPageBreak/>
              <w:t>К2</w:t>
            </w:r>
          </w:p>
        </w:tc>
        <w:tc>
          <w:tcPr>
            <w:tcW w:w="2457" w:type="pct"/>
            <w:tcBorders>
              <w:top w:val="single" w:sz="4" w:space="0" w:color="auto"/>
              <w:left w:val="single" w:sz="4" w:space="0" w:color="auto"/>
              <w:bottom w:val="single" w:sz="4" w:space="0" w:color="auto"/>
              <w:right w:val="single" w:sz="4" w:space="0" w:color="auto"/>
            </w:tcBorders>
            <w:vAlign w:val="center"/>
            <w:hideMark/>
          </w:tcPr>
          <w:p w14:paraId="0735B78D" w14:textId="77777777" w:rsidR="008C0A68" w:rsidRDefault="008C0A68" w:rsidP="00E41AB9">
            <w:pPr>
              <w:rPr>
                <w:rFonts w:eastAsia="Calibri"/>
                <w:sz w:val="20"/>
              </w:rPr>
            </w:pPr>
            <w:r>
              <w:rPr>
                <w:sz w:val="20"/>
              </w:rPr>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14:paraId="32CF3DA4" w14:textId="77777777" w:rsidR="008C0A68" w:rsidRDefault="008C0A68" w:rsidP="00E41AB9">
            <w:pPr>
              <w:jc w:val="center"/>
              <w:rPr>
                <w:rFonts w:eastAsia="MS Mincho"/>
                <w:sz w:val="20"/>
              </w:rPr>
            </w:pPr>
            <w:r>
              <w:rPr>
                <w:rFonts w:eastAsia="MS Mincho"/>
                <w:sz w:val="20"/>
              </w:rPr>
              <w:t>свыше 0,12</w:t>
            </w:r>
          </w:p>
          <w:p w14:paraId="537C96DE" w14:textId="77777777" w:rsidR="008C0A68" w:rsidRDefault="008C0A68" w:rsidP="00E41AB9">
            <w:pPr>
              <w:jc w:val="center"/>
              <w:rPr>
                <w:rFonts w:eastAsia="MS Mincho"/>
                <w:sz w:val="20"/>
              </w:rPr>
            </w:pPr>
            <w:r>
              <w:rPr>
                <w:rFonts w:eastAsia="MS Mincho"/>
                <w:sz w:val="20"/>
              </w:rPr>
              <w:t>от 0,1 до 0,12</w:t>
            </w:r>
          </w:p>
          <w:p w14:paraId="6DB497C4" w14:textId="77777777" w:rsidR="008C0A68" w:rsidRDefault="008C0A68" w:rsidP="00E41AB9">
            <w:pPr>
              <w:jc w:val="center"/>
              <w:rPr>
                <w:rFonts w:eastAsia="MS Mincho"/>
                <w:sz w:val="20"/>
              </w:rPr>
            </w:pPr>
            <w:r>
              <w:rPr>
                <w:rFonts w:eastAsia="MS Mincho"/>
                <w:sz w:val="20"/>
              </w:rPr>
              <w:t>от 0,08 до 0,1</w:t>
            </w:r>
          </w:p>
          <w:p w14:paraId="442F213B" w14:textId="77777777" w:rsidR="008C0A68" w:rsidRDefault="008C0A68" w:rsidP="00E41AB9">
            <w:pPr>
              <w:jc w:val="center"/>
              <w:rPr>
                <w:rFonts w:eastAsia="MS Mincho"/>
                <w:sz w:val="20"/>
              </w:rPr>
            </w:pPr>
            <w:r>
              <w:rPr>
                <w:rFonts w:eastAsia="MS Mincho"/>
                <w:sz w:val="20"/>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14:paraId="5F1AA4FB" w14:textId="77777777" w:rsidR="008C0A68" w:rsidRDefault="008C0A68" w:rsidP="00E41AB9">
            <w:pPr>
              <w:jc w:val="center"/>
              <w:rPr>
                <w:rFonts w:eastAsia="MS Mincho"/>
                <w:sz w:val="20"/>
              </w:rPr>
            </w:pPr>
            <w:r>
              <w:rPr>
                <w:rFonts w:eastAsia="MS Mincho"/>
                <w:sz w:val="20"/>
              </w:rPr>
              <w:t>100</w:t>
            </w:r>
          </w:p>
          <w:p w14:paraId="1C381524" w14:textId="77777777" w:rsidR="008C0A68" w:rsidRDefault="008C0A68" w:rsidP="00E41AB9">
            <w:pPr>
              <w:jc w:val="center"/>
              <w:rPr>
                <w:rFonts w:eastAsia="MS Mincho"/>
                <w:sz w:val="20"/>
                <w:lang w:val="en-US"/>
              </w:rPr>
            </w:pPr>
            <w:r>
              <w:rPr>
                <w:rFonts w:eastAsia="MS Mincho"/>
                <w:sz w:val="20"/>
              </w:rPr>
              <w:t>70</w:t>
            </w:r>
          </w:p>
          <w:p w14:paraId="2E8FC565" w14:textId="77777777" w:rsidR="008C0A68" w:rsidRDefault="008C0A68" w:rsidP="00E41AB9">
            <w:pPr>
              <w:jc w:val="center"/>
              <w:rPr>
                <w:rFonts w:eastAsia="MS Mincho"/>
                <w:sz w:val="20"/>
                <w:lang w:val="en-US"/>
              </w:rPr>
            </w:pPr>
            <w:r>
              <w:rPr>
                <w:rFonts w:eastAsia="MS Mincho"/>
                <w:sz w:val="20"/>
                <w:lang w:val="en-US"/>
              </w:rPr>
              <w:t>10</w:t>
            </w:r>
          </w:p>
          <w:p w14:paraId="5C9479D3" w14:textId="77777777" w:rsidR="008C0A68" w:rsidRDefault="008C0A68" w:rsidP="00E41AB9">
            <w:pPr>
              <w:jc w:val="center"/>
              <w:rPr>
                <w:rFonts w:eastAsia="MS Mincho"/>
                <w:sz w:val="20"/>
              </w:rPr>
            </w:pPr>
            <w:r>
              <w:rPr>
                <w:rFonts w:eastAsia="MS Mincho"/>
                <w:sz w:val="20"/>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14:paraId="47126E17" w14:textId="77777777" w:rsidR="008C0A68" w:rsidRDefault="008C0A68" w:rsidP="00E41AB9">
            <w:pPr>
              <w:jc w:val="center"/>
              <w:rPr>
                <w:rFonts w:eastAsia="MS Mincho"/>
                <w:sz w:val="20"/>
              </w:rPr>
            </w:pPr>
            <w:r>
              <w:rPr>
                <w:rFonts w:eastAsia="MS Mincho"/>
                <w:sz w:val="20"/>
              </w:rPr>
              <w:t>0,20</w:t>
            </w:r>
          </w:p>
        </w:tc>
      </w:tr>
      <w:tr w:rsidR="008C0A68" w14:paraId="04341F85" w14:textId="77777777" w:rsidTr="00E41AB9">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14:paraId="5757D9ED" w14:textId="77777777" w:rsidR="008C0A68" w:rsidRDefault="008C0A68" w:rsidP="00E41AB9">
            <w:pPr>
              <w:rPr>
                <w:rFonts w:eastAsia="MS Mincho"/>
                <w:sz w:val="20"/>
              </w:rPr>
            </w:pPr>
            <w:r>
              <w:rPr>
                <w:rFonts w:eastAsia="MS Mincho"/>
                <w:bCs/>
                <w:sz w:val="20"/>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14:paraId="605050AE" w14:textId="77777777" w:rsidR="008C0A68" w:rsidRDefault="008C0A68" w:rsidP="00E41AB9">
            <w:pPr>
              <w:rPr>
                <w:rFonts w:eastAsia="MS Mincho"/>
                <w:sz w:val="20"/>
              </w:rPr>
            </w:pPr>
          </w:p>
        </w:tc>
      </w:tr>
      <w:tr w:rsidR="008C0A68" w14:paraId="1E539C37" w14:textId="77777777" w:rsidTr="00E41AB9">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14:paraId="5EA9F1E7" w14:textId="77777777" w:rsidR="008C0A68" w:rsidRDefault="008C0A68" w:rsidP="00E41AB9">
            <w:pPr>
              <w:rPr>
                <w:rFonts w:eastAsia="MS Mincho"/>
                <w:bCs/>
                <w:i/>
                <w:iCs/>
                <w:sz w:val="20"/>
              </w:rPr>
            </w:pPr>
            <w:r>
              <w:rPr>
                <w:rFonts w:eastAsia="MS Mincho"/>
                <w:bCs/>
                <w:i/>
                <w:iCs/>
                <w:sz w:val="20"/>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14:paraId="38B21AC9" w14:textId="77777777" w:rsidR="008C0A68" w:rsidRDefault="008C0A68" w:rsidP="00E41AB9">
            <w:pPr>
              <w:rPr>
                <w:rFonts w:eastAsia="Calibri"/>
                <w:sz w:val="20"/>
              </w:rPr>
            </w:pPr>
            <w:r>
              <w:rPr>
                <w:sz w:val="20"/>
              </w:rPr>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hideMark/>
          </w:tcPr>
          <w:p w14:paraId="23BA7221" w14:textId="77777777" w:rsidR="008C0A68" w:rsidRDefault="008C0A68" w:rsidP="00E41AB9">
            <w:pPr>
              <w:jc w:val="center"/>
              <w:rPr>
                <w:rFonts w:eastAsia="MS Mincho"/>
                <w:sz w:val="20"/>
              </w:rPr>
            </w:pPr>
            <w:r>
              <w:rPr>
                <w:rFonts w:eastAsia="MS Mincho"/>
                <w:sz w:val="20"/>
              </w:rPr>
              <w:t>свыше 0,8</w:t>
            </w:r>
          </w:p>
          <w:p w14:paraId="42B91F0D" w14:textId="77777777" w:rsidR="008C0A68" w:rsidRDefault="008C0A68" w:rsidP="00E41AB9">
            <w:pPr>
              <w:jc w:val="center"/>
              <w:rPr>
                <w:rFonts w:eastAsia="MS Mincho"/>
                <w:sz w:val="20"/>
              </w:rPr>
            </w:pPr>
            <w:r>
              <w:rPr>
                <w:rFonts w:eastAsia="MS Mincho"/>
                <w:sz w:val="20"/>
              </w:rPr>
              <w:t>от 0,5 до 0,8</w:t>
            </w:r>
          </w:p>
          <w:p w14:paraId="52E8FF00" w14:textId="77777777" w:rsidR="008C0A68" w:rsidRDefault="008C0A68" w:rsidP="00E41AB9">
            <w:pPr>
              <w:jc w:val="center"/>
              <w:rPr>
                <w:rFonts w:eastAsia="MS Mincho"/>
                <w:sz w:val="20"/>
              </w:rPr>
            </w:pPr>
            <w:r>
              <w:rPr>
                <w:rFonts w:eastAsia="MS Mincho"/>
                <w:sz w:val="20"/>
              </w:rPr>
              <w:t>от 0,4 до 0,5</w:t>
            </w:r>
          </w:p>
          <w:p w14:paraId="4F8B9591" w14:textId="77777777" w:rsidR="008C0A68" w:rsidRDefault="008C0A68" w:rsidP="00E41AB9">
            <w:pPr>
              <w:jc w:val="center"/>
              <w:rPr>
                <w:rFonts w:eastAsia="MS Mincho"/>
                <w:sz w:val="20"/>
              </w:rPr>
            </w:pPr>
            <w:r>
              <w:rPr>
                <w:rFonts w:eastAsia="MS Mincho"/>
                <w:sz w:val="20"/>
              </w:rPr>
              <w:t>менее 0,4</w:t>
            </w:r>
          </w:p>
        </w:tc>
        <w:tc>
          <w:tcPr>
            <w:tcW w:w="457" w:type="pct"/>
            <w:tcBorders>
              <w:top w:val="single" w:sz="4" w:space="0" w:color="auto"/>
              <w:left w:val="single" w:sz="4" w:space="0" w:color="auto"/>
              <w:bottom w:val="single" w:sz="4" w:space="0" w:color="auto"/>
              <w:right w:val="single" w:sz="4" w:space="0" w:color="auto"/>
            </w:tcBorders>
            <w:hideMark/>
          </w:tcPr>
          <w:p w14:paraId="38F5AB1A" w14:textId="77777777" w:rsidR="008C0A68" w:rsidRDefault="008C0A68" w:rsidP="00E41AB9">
            <w:pPr>
              <w:jc w:val="center"/>
              <w:rPr>
                <w:rFonts w:eastAsia="MS Mincho"/>
                <w:sz w:val="20"/>
              </w:rPr>
            </w:pPr>
            <w:r>
              <w:rPr>
                <w:rFonts w:eastAsia="MS Mincho"/>
                <w:sz w:val="20"/>
              </w:rPr>
              <w:t>100</w:t>
            </w:r>
          </w:p>
          <w:p w14:paraId="43B1CC9A" w14:textId="77777777" w:rsidR="008C0A68" w:rsidRDefault="008C0A68" w:rsidP="00E41AB9">
            <w:pPr>
              <w:jc w:val="center"/>
              <w:rPr>
                <w:rFonts w:eastAsia="MS Mincho"/>
                <w:sz w:val="20"/>
              </w:rPr>
            </w:pPr>
            <w:r>
              <w:rPr>
                <w:rFonts w:eastAsia="MS Mincho"/>
                <w:sz w:val="20"/>
              </w:rPr>
              <w:t>70</w:t>
            </w:r>
          </w:p>
          <w:p w14:paraId="170306B7" w14:textId="77777777" w:rsidR="008C0A68" w:rsidRDefault="008C0A68" w:rsidP="00E41AB9">
            <w:pPr>
              <w:jc w:val="center"/>
              <w:rPr>
                <w:rFonts w:eastAsia="MS Mincho"/>
                <w:sz w:val="20"/>
              </w:rPr>
            </w:pPr>
            <w:r>
              <w:rPr>
                <w:rFonts w:eastAsia="MS Mincho"/>
                <w:sz w:val="20"/>
              </w:rPr>
              <w:t>30</w:t>
            </w:r>
          </w:p>
          <w:p w14:paraId="6A255AFE" w14:textId="77777777" w:rsidR="008C0A68" w:rsidRDefault="008C0A68" w:rsidP="00E41AB9">
            <w:pPr>
              <w:jc w:val="center"/>
              <w:rPr>
                <w:rFonts w:eastAsia="MS Mincho"/>
                <w:sz w:val="20"/>
              </w:rPr>
            </w:pPr>
            <w:r>
              <w:rPr>
                <w:rFonts w:eastAsia="MS Mincho"/>
                <w:sz w:val="20"/>
              </w:rPr>
              <w:t>-10</w:t>
            </w:r>
          </w:p>
        </w:tc>
        <w:tc>
          <w:tcPr>
            <w:tcW w:w="816" w:type="pct"/>
            <w:tcBorders>
              <w:top w:val="single" w:sz="4" w:space="0" w:color="auto"/>
              <w:left w:val="single" w:sz="4" w:space="0" w:color="auto"/>
              <w:bottom w:val="single" w:sz="4" w:space="0" w:color="auto"/>
              <w:right w:val="single" w:sz="4" w:space="0" w:color="auto"/>
            </w:tcBorders>
            <w:vAlign w:val="center"/>
            <w:hideMark/>
          </w:tcPr>
          <w:p w14:paraId="3620AB2D" w14:textId="77777777" w:rsidR="008C0A68" w:rsidRDefault="008C0A68" w:rsidP="00E41AB9">
            <w:pPr>
              <w:jc w:val="center"/>
              <w:rPr>
                <w:rFonts w:eastAsia="MS Mincho"/>
                <w:sz w:val="20"/>
              </w:rPr>
            </w:pPr>
            <w:r>
              <w:rPr>
                <w:rFonts w:eastAsia="MS Mincho"/>
                <w:sz w:val="20"/>
              </w:rPr>
              <w:t>0,20</w:t>
            </w:r>
          </w:p>
        </w:tc>
      </w:tr>
      <w:tr w:rsidR="008C0A68" w14:paraId="7D98E8EB" w14:textId="77777777" w:rsidTr="00E41AB9">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89CACAC" w14:textId="77777777" w:rsidR="008C0A68" w:rsidRDefault="008C0A68" w:rsidP="00E41AB9">
            <w:pPr>
              <w:rPr>
                <w:rFonts w:eastAsia="MS Mincho"/>
                <w:sz w:val="20"/>
                <w:lang w:val="en-US"/>
              </w:rPr>
            </w:pPr>
            <w:r>
              <w:rPr>
                <w:rFonts w:eastAsia="MS Mincho"/>
                <w:bCs/>
                <w:sz w:val="20"/>
              </w:rPr>
              <w:t>Показатели рентабельности</w:t>
            </w:r>
          </w:p>
        </w:tc>
      </w:tr>
      <w:tr w:rsidR="008C0A68" w14:paraId="22B2B41C" w14:textId="77777777" w:rsidTr="00E41AB9">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14:paraId="6E2C868A" w14:textId="77777777" w:rsidR="008C0A68" w:rsidRDefault="008C0A68" w:rsidP="00E41AB9">
            <w:pPr>
              <w:rPr>
                <w:rFonts w:eastAsia="MS Mincho"/>
                <w:bCs/>
                <w:i/>
                <w:iCs/>
                <w:sz w:val="20"/>
              </w:rPr>
            </w:pPr>
            <w:r>
              <w:rPr>
                <w:rFonts w:eastAsia="MS Mincho"/>
                <w:bCs/>
                <w:i/>
                <w:iCs/>
                <w:sz w:val="20"/>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14:paraId="3D32500C" w14:textId="77777777" w:rsidR="008C0A68" w:rsidRDefault="008C0A68" w:rsidP="00E41AB9">
            <w:pPr>
              <w:rPr>
                <w:rFonts w:eastAsia="Calibri"/>
                <w:sz w:val="20"/>
              </w:rPr>
            </w:pPr>
            <w:r>
              <w:rPr>
                <w:sz w:val="20"/>
              </w:rPr>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14:paraId="4E35B633" w14:textId="77777777" w:rsidR="008C0A68" w:rsidRDefault="008C0A68" w:rsidP="00E41AB9">
            <w:pPr>
              <w:jc w:val="center"/>
              <w:rPr>
                <w:rFonts w:eastAsia="MS Mincho"/>
                <w:sz w:val="20"/>
              </w:rPr>
            </w:pPr>
            <w:r>
              <w:rPr>
                <w:rFonts w:eastAsia="MS Mincho"/>
                <w:sz w:val="20"/>
              </w:rPr>
              <w:t>свыше 0,05</w:t>
            </w:r>
          </w:p>
          <w:p w14:paraId="7D9B9432" w14:textId="77777777" w:rsidR="008C0A68" w:rsidRDefault="008C0A68" w:rsidP="00E41AB9">
            <w:pPr>
              <w:jc w:val="center"/>
              <w:rPr>
                <w:rFonts w:eastAsia="MS Mincho"/>
                <w:sz w:val="20"/>
              </w:rPr>
            </w:pPr>
            <w:r>
              <w:rPr>
                <w:rFonts w:eastAsia="MS Mincho"/>
                <w:sz w:val="20"/>
              </w:rPr>
              <w:t>от 0 до 0,05</w:t>
            </w:r>
          </w:p>
          <w:p w14:paraId="549141EA" w14:textId="77777777" w:rsidR="008C0A68" w:rsidRDefault="008C0A68" w:rsidP="00E41AB9">
            <w:pPr>
              <w:jc w:val="center"/>
              <w:rPr>
                <w:rFonts w:eastAsia="MS Mincho"/>
                <w:sz w:val="20"/>
              </w:rPr>
            </w:pPr>
            <w:r>
              <w:rPr>
                <w:rFonts w:eastAsia="MS Mincho"/>
                <w:sz w:val="20"/>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14:paraId="639AA2AB" w14:textId="77777777" w:rsidR="008C0A68" w:rsidRDefault="008C0A68" w:rsidP="00E41AB9">
            <w:pPr>
              <w:jc w:val="center"/>
              <w:rPr>
                <w:rFonts w:eastAsia="MS Mincho"/>
                <w:sz w:val="20"/>
              </w:rPr>
            </w:pPr>
            <w:r>
              <w:rPr>
                <w:rFonts w:eastAsia="MS Mincho"/>
                <w:sz w:val="20"/>
              </w:rPr>
              <w:t>100</w:t>
            </w:r>
          </w:p>
          <w:p w14:paraId="3E5F7335" w14:textId="77777777" w:rsidR="008C0A68" w:rsidRDefault="008C0A68" w:rsidP="00E41AB9">
            <w:pPr>
              <w:jc w:val="center"/>
              <w:rPr>
                <w:rFonts w:eastAsia="MS Mincho"/>
                <w:sz w:val="20"/>
              </w:rPr>
            </w:pPr>
            <w:r>
              <w:rPr>
                <w:rFonts w:eastAsia="MS Mincho"/>
                <w:sz w:val="20"/>
              </w:rPr>
              <w:t>70</w:t>
            </w:r>
          </w:p>
          <w:p w14:paraId="6ED3801C" w14:textId="77777777" w:rsidR="008C0A68" w:rsidRDefault="008C0A68" w:rsidP="00E41AB9">
            <w:pPr>
              <w:jc w:val="center"/>
              <w:rPr>
                <w:rFonts w:eastAsia="MS Mincho"/>
                <w:sz w:val="20"/>
              </w:rPr>
            </w:pPr>
            <w:r>
              <w:rPr>
                <w:rFonts w:eastAsia="MS Mincho"/>
                <w:sz w:val="20"/>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14:paraId="42E6936E" w14:textId="77777777" w:rsidR="008C0A68" w:rsidRDefault="008C0A68" w:rsidP="00E41AB9">
            <w:pPr>
              <w:jc w:val="center"/>
              <w:rPr>
                <w:rFonts w:eastAsia="MS Mincho"/>
                <w:sz w:val="20"/>
              </w:rPr>
            </w:pPr>
            <w:r>
              <w:rPr>
                <w:rFonts w:eastAsia="MS Mincho"/>
                <w:sz w:val="20"/>
                <w:lang w:val="en-US"/>
              </w:rPr>
              <w:t>0</w:t>
            </w:r>
            <w:r>
              <w:rPr>
                <w:rFonts w:eastAsia="MS Mincho"/>
                <w:sz w:val="20"/>
              </w:rPr>
              <w:t>,1</w:t>
            </w:r>
            <w:r>
              <w:rPr>
                <w:rFonts w:eastAsia="MS Mincho"/>
                <w:sz w:val="20"/>
                <w:lang w:val="en-US"/>
              </w:rPr>
              <w:t>5</w:t>
            </w:r>
          </w:p>
        </w:tc>
      </w:tr>
      <w:tr w:rsidR="008C0A68" w14:paraId="229CFD5C" w14:textId="77777777" w:rsidTr="00E41AB9">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14:paraId="3CB46526" w14:textId="77777777" w:rsidR="008C0A68" w:rsidRDefault="008C0A68" w:rsidP="00E41AB9">
            <w:pPr>
              <w:rPr>
                <w:rFonts w:eastAsia="MS Mincho"/>
                <w:bCs/>
                <w:i/>
                <w:iCs/>
                <w:sz w:val="20"/>
              </w:rPr>
            </w:pPr>
            <w:r>
              <w:rPr>
                <w:rFonts w:eastAsia="MS Mincho"/>
                <w:bCs/>
                <w:i/>
                <w:iCs/>
                <w:sz w:val="20"/>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14:paraId="6F992783" w14:textId="77777777" w:rsidR="008C0A68" w:rsidRDefault="008C0A68" w:rsidP="00E41AB9">
            <w:pPr>
              <w:rPr>
                <w:rFonts w:eastAsia="Calibri"/>
                <w:sz w:val="20"/>
              </w:rPr>
            </w:pPr>
            <w:r>
              <w:rPr>
                <w:sz w:val="20"/>
              </w:rPr>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14:paraId="618DBC15" w14:textId="77777777" w:rsidR="008C0A68" w:rsidRDefault="008C0A68" w:rsidP="00E41AB9">
            <w:pPr>
              <w:jc w:val="center"/>
              <w:rPr>
                <w:rFonts w:eastAsia="MS Mincho"/>
                <w:sz w:val="20"/>
              </w:rPr>
            </w:pPr>
            <w:r>
              <w:rPr>
                <w:rFonts w:eastAsia="MS Mincho"/>
                <w:sz w:val="20"/>
              </w:rPr>
              <w:t>свыше 0,15</w:t>
            </w:r>
          </w:p>
          <w:p w14:paraId="15755643" w14:textId="77777777" w:rsidR="008C0A68" w:rsidRDefault="008C0A68" w:rsidP="00E41AB9">
            <w:pPr>
              <w:jc w:val="center"/>
              <w:rPr>
                <w:rFonts w:eastAsia="MS Mincho"/>
                <w:sz w:val="20"/>
              </w:rPr>
            </w:pPr>
            <w:r>
              <w:rPr>
                <w:rFonts w:eastAsia="MS Mincho"/>
                <w:sz w:val="20"/>
              </w:rPr>
              <w:t>от 0 до 0,15</w:t>
            </w:r>
          </w:p>
          <w:p w14:paraId="517AF9A4" w14:textId="77777777" w:rsidR="008C0A68" w:rsidRDefault="008C0A68" w:rsidP="00E41AB9">
            <w:pPr>
              <w:jc w:val="center"/>
              <w:rPr>
                <w:rFonts w:eastAsia="MS Mincho"/>
                <w:sz w:val="20"/>
              </w:rPr>
            </w:pPr>
            <w:r>
              <w:rPr>
                <w:rFonts w:eastAsia="MS Mincho"/>
                <w:sz w:val="20"/>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14:paraId="75C7F658" w14:textId="77777777" w:rsidR="008C0A68" w:rsidRDefault="008C0A68" w:rsidP="00E41AB9">
            <w:pPr>
              <w:jc w:val="center"/>
              <w:rPr>
                <w:rFonts w:eastAsia="MS Mincho"/>
                <w:sz w:val="20"/>
              </w:rPr>
            </w:pPr>
            <w:r>
              <w:rPr>
                <w:rFonts w:eastAsia="MS Mincho"/>
                <w:sz w:val="20"/>
              </w:rPr>
              <w:t>100</w:t>
            </w:r>
          </w:p>
          <w:p w14:paraId="13429225" w14:textId="77777777" w:rsidR="008C0A68" w:rsidRDefault="008C0A68" w:rsidP="00E41AB9">
            <w:pPr>
              <w:jc w:val="center"/>
              <w:rPr>
                <w:rFonts w:eastAsia="MS Mincho"/>
                <w:sz w:val="20"/>
              </w:rPr>
            </w:pPr>
            <w:r>
              <w:rPr>
                <w:rFonts w:eastAsia="MS Mincho"/>
                <w:sz w:val="20"/>
              </w:rPr>
              <w:t>70</w:t>
            </w:r>
          </w:p>
          <w:p w14:paraId="7BED58CC" w14:textId="77777777" w:rsidR="008C0A68" w:rsidRDefault="008C0A68" w:rsidP="00E41AB9">
            <w:pPr>
              <w:jc w:val="center"/>
              <w:rPr>
                <w:rFonts w:eastAsia="MS Mincho"/>
                <w:sz w:val="20"/>
              </w:rPr>
            </w:pPr>
            <w:r>
              <w:rPr>
                <w:rFonts w:eastAsia="MS Mincho"/>
                <w:sz w:val="20"/>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14:paraId="5B7495A0" w14:textId="77777777" w:rsidR="008C0A68" w:rsidRDefault="008C0A68" w:rsidP="00E41AB9">
            <w:pPr>
              <w:jc w:val="center"/>
              <w:rPr>
                <w:rFonts w:eastAsia="MS Mincho"/>
                <w:sz w:val="20"/>
              </w:rPr>
            </w:pPr>
            <w:r>
              <w:rPr>
                <w:rFonts w:eastAsia="MS Mincho"/>
                <w:sz w:val="20"/>
              </w:rPr>
              <w:t>0,15</w:t>
            </w:r>
          </w:p>
        </w:tc>
      </w:tr>
      <w:tr w:rsidR="008C0A68" w14:paraId="3A029190" w14:textId="77777777" w:rsidTr="00E41AB9">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BB06AEA" w14:textId="77777777" w:rsidR="008C0A68" w:rsidRDefault="008C0A68" w:rsidP="00E41AB9">
            <w:pPr>
              <w:rPr>
                <w:rFonts w:eastAsia="MS Mincho"/>
                <w:sz w:val="20"/>
              </w:rPr>
            </w:pPr>
            <w:r>
              <w:rPr>
                <w:rFonts w:eastAsia="MS Mincho"/>
                <w:bCs/>
                <w:sz w:val="20"/>
              </w:rPr>
              <w:t>Показатель долговой нагрузки</w:t>
            </w:r>
          </w:p>
        </w:tc>
      </w:tr>
      <w:tr w:rsidR="008C0A68" w14:paraId="71BC9A23" w14:textId="77777777" w:rsidTr="00E41AB9">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14:paraId="0F971336" w14:textId="77777777" w:rsidR="008C0A68" w:rsidRDefault="008C0A68" w:rsidP="00E41AB9">
            <w:pPr>
              <w:rPr>
                <w:rFonts w:eastAsia="MS Mincho"/>
                <w:bCs/>
                <w:i/>
                <w:iCs/>
                <w:sz w:val="20"/>
              </w:rPr>
            </w:pPr>
            <w:r>
              <w:rPr>
                <w:rFonts w:eastAsia="MS Mincho"/>
                <w:bCs/>
                <w:i/>
                <w:iCs/>
                <w:sz w:val="20"/>
              </w:rPr>
              <w:t>К6</w:t>
            </w:r>
          </w:p>
        </w:tc>
        <w:tc>
          <w:tcPr>
            <w:tcW w:w="2457" w:type="pct"/>
            <w:tcBorders>
              <w:top w:val="single" w:sz="4" w:space="0" w:color="auto"/>
              <w:left w:val="single" w:sz="4" w:space="0" w:color="auto"/>
              <w:bottom w:val="single" w:sz="4" w:space="0" w:color="auto"/>
              <w:right w:val="single" w:sz="4" w:space="0" w:color="auto"/>
            </w:tcBorders>
            <w:vAlign w:val="center"/>
            <w:hideMark/>
          </w:tcPr>
          <w:p w14:paraId="31C8C68D" w14:textId="77777777" w:rsidR="008C0A68" w:rsidRDefault="008C0A68" w:rsidP="00E41AB9">
            <w:pPr>
              <w:rPr>
                <w:rFonts w:eastAsia="Calibri"/>
                <w:sz w:val="20"/>
              </w:rPr>
            </w:pPr>
            <w:r>
              <w:rPr>
                <w:sz w:val="20"/>
              </w:rPr>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hideMark/>
          </w:tcPr>
          <w:p w14:paraId="7E75D115" w14:textId="77777777" w:rsidR="008C0A68" w:rsidRDefault="008C0A68" w:rsidP="00E41AB9">
            <w:pPr>
              <w:jc w:val="center"/>
              <w:rPr>
                <w:rFonts w:eastAsia="MS Mincho"/>
                <w:sz w:val="20"/>
              </w:rPr>
            </w:pPr>
            <w:r>
              <w:rPr>
                <w:rFonts w:eastAsia="MS Mincho"/>
                <w:sz w:val="20"/>
              </w:rPr>
              <w:t>менее 0,4</w:t>
            </w:r>
          </w:p>
          <w:p w14:paraId="08E305DF" w14:textId="77777777" w:rsidR="008C0A68" w:rsidRDefault="008C0A68" w:rsidP="00E41AB9">
            <w:pPr>
              <w:jc w:val="center"/>
              <w:rPr>
                <w:rFonts w:eastAsia="MS Mincho"/>
                <w:sz w:val="20"/>
              </w:rPr>
            </w:pPr>
            <w:r>
              <w:rPr>
                <w:rFonts w:eastAsia="MS Mincho"/>
                <w:sz w:val="20"/>
              </w:rPr>
              <w:t>от 0,7 до 0,4</w:t>
            </w:r>
          </w:p>
          <w:p w14:paraId="0864FD94" w14:textId="77777777" w:rsidR="008C0A68" w:rsidRDefault="008C0A68" w:rsidP="00E41AB9">
            <w:pPr>
              <w:jc w:val="center"/>
              <w:rPr>
                <w:rFonts w:eastAsia="MS Mincho"/>
                <w:sz w:val="20"/>
              </w:rPr>
            </w:pPr>
            <w:r>
              <w:rPr>
                <w:rFonts w:eastAsia="MS Mincho"/>
                <w:sz w:val="20"/>
              </w:rPr>
              <w:t>более 0,7</w:t>
            </w:r>
          </w:p>
        </w:tc>
        <w:tc>
          <w:tcPr>
            <w:tcW w:w="457" w:type="pct"/>
            <w:tcBorders>
              <w:top w:val="single" w:sz="4" w:space="0" w:color="auto"/>
              <w:left w:val="single" w:sz="4" w:space="0" w:color="auto"/>
              <w:bottom w:val="single" w:sz="4" w:space="0" w:color="auto"/>
              <w:right w:val="single" w:sz="4" w:space="0" w:color="auto"/>
            </w:tcBorders>
            <w:hideMark/>
          </w:tcPr>
          <w:p w14:paraId="2560C7C5" w14:textId="77777777" w:rsidR="008C0A68" w:rsidRDefault="008C0A68" w:rsidP="00E41AB9">
            <w:pPr>
              <w:jc w:val="center"/>
              <w:rPr>
                <w:rFonts w:eastAsia="MS Mincho"/>
                <w:sz w:val="20"/>
              </w:rPr>
            </w:pPr>
            <w:r>
              <w:rPr>
                <w:rFonts w:eastAsia="MS Mincho"/>
                <w:sz w:val="20"/>
              </w:rPr>
              <w:t>100</w:t>
            </w:r>
          </w:p>
          <w:p w14:paraId="0CDCA277" w14:textId="77777777" w:rsidR="008C0A68" w:rsidRDefault="008C0A68" w:rsidP="00E41AB9">
            <w:pPr>
              <w:jc w:val="center"/>
              <w:rPr>
                <w:rFonts w:eastAsia="MS Mincho"/>
                <w:sz w:val="20"/>
              </w:rPr>
            </w:pPr>
            <w:r>
              <w:rPr>
                <w:rFonts w:eastAsia="MS Mincho"/>
                <w:sz w:val="20"/>
              </w:rPr>
              <w:t>70</w:t>
            </w:r>
          </w:p>
          <w:p w14:paraId="0751772A" w14:textId="77777777" w:rsidR="008C0A68" w:rsidRDefault="008C0A68" w:rsidP="00E41AB9">
            <w:pPr>
              <w:jc w:val="center"/>
              <w:rPr>
                <w:rFonts w:eastAsia="MS Mincho"/>
                <w:sz w:val="20"/>
              </w:rPr>
            </w:pPr>
            <w:r>
              <w:rPr>
                <w:rFonts w:eastAsia="MS Mincho"/>
                <w:sz w:val="20"/>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14:paraId="5B55481E" w14:textId="77777777" w:rsidR="008C0A68" w:rsidRDefault="008C0A68" w:rsidP="00E41AB9">
            <w:pPr>
              <w:jc w:val="center"/>
              <w:rPr>
                <w:rFonts w:eastAsia="MS Mincho"/>
                <w:sz w:val="20"/>
              </w:rPr>
            </w:pPr>
            <w:r>
              <w:rPr>
                <w:rFonts w:eastAsia="MS Mincho"/>
                <w:sz w:val="20"/>
              </w:rPr>
              <w:t>0,15</w:t>
            </w:r>
          </w:p>
        </w:tc>
      </w:tr>
    </w:tbl>
    <w:p w14:paraId="6B72187D" w14:textId="77777777" w:rsidR="008C0A68" w:rsidRDefault="008C0A68" w:rsidP="008C0A68">
      <w:pPr>
        <w:ind w:firstLine="567"/>
        <w:jc w:val="right"/>
        <w:rPr>
          <w:rFonts w:eastAsia="MS Mincho"/>
          <w:sz w:val="8"/>
          <w:szCs w:val="8"/>
          <w:lang w:eastAsia="en-US"/>
        </w:rPr>
      </w:pPr>
    </w:p>
    <w:p w14:paraId="13226348" w14:textId="77777777" w:rsidR="008C0A68" w:rsidRDefault="008C0A68" w:rsidP="008C0A68">
      <w:pPr>
        <w:ind w:firstLine="567"/>
        <w:jc w:val="both"/>
        <w:rPr>
          <w:rFonts w:eastAsia="MS Mincho"/>
          <w:szCs w:val="24"/>
        </w:rPr>
      </w:pPr>
    </w:p>
    <w:p w14:paraId="29477BFA" w14:textId="77777777" w:rsidR="008C0A68" w:rsidRDefault="008C0A68" w:rsidP="008C0A68">
      <w:pPr>
        <w:ind w:firstLine="567"/>
        <w:jc w:val="both"/>
        <w:rPr>
          <w:rFonts w:eastAsia="MS Mincho"/>
          <w:szCs w:val="24"/>
        </w:rPr>
      </w:pPr>
      <w:r>
        <w:rPr>
          <w:rFonts w:eastAsia="MS Mincho"/>
          <w:szCs w:val="24"/>
        </w:rPr>
        <w:t>В Таблицах 3.1 и 3.2 приведены принятые правила расчета коэффициентов из соответствующих Таблиц 2.1 и 2.2.</w:t>
      </w:r>
    </w:p>
    <w:p w14:paraId="366BEFDA" w14:textId="77777777" w:rsidR="008C0A68" w:rsidRDefault="008C0A68" w:rsidP="008C0A68">
      <w:pPr>
        <w:ind w:firstLine="567"/>
        <w:jc w:val="right"/>
        <w:rPr>
          <w:rFonts w:eastAsia="Calibri"/>
          <w:sz w:val="8"/>
          <w:szCs w:val="8"/>
        </w:rPr>
      </w:pPr>
    </w:p>
    <w:p w14:paraId="65DD435A" w14:textId="77777777" w:rsidR="008C0A68" w:rsidRDefault="008C0A68" w:rsidP="008C0A68">
      <w:pPr>
        <w:keepLines/>
        <w:ind w:firstLine="567"/>
        <w:jc w:val="right"/>
        <w:rPr>
          <w:rFonts w:eastAsia="MS Mincho"/>
          <w:szCs w:val="24"/>
        </w:rPr>
      </w:pPr>
      <w:r>
        <w:rPr>
          <w:szCs w:val="24"/>
        </w:rPr>
        <w:t xml:space="preserve">Таблица 3.1 Правила расчёта коэффициентов </w:t>
      </w:r>
      <w:r>
        <w:rPr>
          <w:rFonts w:eastAsia="MS Mincho"/>
          <w:szCs w:val="24"/>
        </w:rPr>
        <w:t>для юридических лиц</w:t>
      </w:r>
    </w:p>
    <w:p w14:paraId="746DC6A2" w14:textId="77777777" w:rsidR="008C0A68" w:rsidRDefault="008C0A68" w:rsidP="008C0A68">
      <w:pPr>
        <w:keepLines/>
        <w:ind w:firstLine="567"/>
        <w:jc w:val="right"/>
        <w:rPr>
          <w:rFonts w:eastAsia="MS Mincho"/>
          <w:szCs w:val="24"/>
        </w:rPr>
      </w:pPr>
      <w:r>
        <w:rPr>
          <w:rFonts w:eastAsia="MS Mincho"/>
          <w:szCs w:val="24"/>
        </w:rPr>
        <w:t>(за исключением кредитных организаций и некредитных финансовых организаций)</w:t>
      </w:r>
    </w:p>
    <w:tbl>
      <w:tblPr>
        <w:tblpPr w:leftFromText="180" w:rightFromText="180" w:bottomFromText="16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887"/>
        <w:gridCol w:w="2917"/>
        <w:gridCol w:w="3802"/>
      </w:tblGrid>
      <w:tr w:rsidR="008C0A68" w14:paraId="76E63CCA" w14:textId="77777777" w:rsidTr="00E41AB9">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14:paraId="326A271E" w14:textId="77777777" w:rsidR="008C0A68" w:rsidRDefault="008C0A68" w:rsidP="00E41AB9">
            <w:pPr>
              <w:keepLines/>
              <w:jc w:val="center"/>
              <w:rPr>
                <w:rFonts w:eastAsia="MS Mincho"/>
                <w:bCs/>
                <w:sz w:val="20"/>
              </w:rPr>
            </w:pPr>
            <w:r>
              <w:rPr>
                <w:rFonts w:eastAsia="MS Mincho"/>
                <w:bCs/>
                <w:sz w:val="20"/>
              </w:rPr>
              <w:t>№</w:t>
            </w:r>
          </w:p>
        </w:tc>
        <w:tc>
          <w:tcPr>
            <w:tcW w:w="1044" w:type="pct"/>
            <w:tcBorders>
              <w:top w:val="single" w:sz="4" w:space="0" w:color="auto"/>
              <w:left w:val="single" w:sz="4" w:space="0" w:color="auto"/>
              <w:bottom w:val="single" w:sz="4" w:space="0" w:color="auto"/>
              <w:right w:val="single" w:sz="4" w:space="0" w:color="auto"/>
            </w:tcBorders>
            <w:vAlign w:val="center"/>
            <w:hideMark/>
          </w:tcPr>
          <w:p w14:paraId="2D6B83E4" w14:textId="77777777" w:rsidR="008C0A68" w:rsidRDefault="008C0A68" w:rsidP="00E41AB9">
            <w:pPr>
              <w:keepLines/>
              <w:jc w:val="center"/>
              <w:rPr>
                <w:rFonts w:eastAsia="MS Mincho"/>
                <w:bCs/>
                <w:sz w:val="20"/>
              </w:rPr>
            </w:pPr>
            <w:r>
              <w:rPr>
                <w:rFonts w:eastAsia="MS Mincho"/>
                <w:bCs/>
                <w:sz w:val="20"/>
              </w:rPr>
              <w:t>Наименование</w:t>
            </w:r>
          </w:p>
          <w:p w14:paraId="10AF7B14" w14:textId="77777777" w:rsidR="008C0A68" w:rsidRDefault="008C0A68" w:rsidP="00E41AB9">
            <w:pPr>
              <w:keepLines/>
              <w:jc w:val="center"/>
              <w:rPr>
                <w:rFonts w:eastAsia="MS Mincho"/>
                <w:bCs/>
                <w:sz w:val="20"/>
              </w:rPr>
            </w:pPr>
            <w:r>
              <w:rPr>
                <w:rFonts w:eastAsia="MS Mincho"/>
                <w:bCs/>
                <w:sz w:val="20"/>
              </w:rPr>
              <w:t>коэффициента</w:t>
            </w:r>
          </w:p>
        </w:tc>
        <w:tc>
          <w:tcPr>
            <w:tcW w:w="1613" w:type="pct"/>
            <w:tcBorders>
              <w:top w:val="single" w:sz="4" w:space="0" w:color="auto"/>
              <w:left w:val="single" w:sz="4" w:space="0" w:color="auto"/>
              <w:bottom w:val="single" w:sz="4" w:space="0" w:color="auto"/>
              <w:right w:val="single" w:sz="4" w:space="0" w:color="auto"/>
            </w:tcBorders>
            <w:vAlign w:val="center"/>
            <w:hideMark/>
          </w:tcPr>
          <w:p w14:paraId="3711590D" w14:textId="77777777" w:rsidR="008C0A68" w:rsidRDefault="008C0A68" w:rsidP="00E41AB9">
            <w:pPr>
              <w:keepLines/>
              <w:jc w:val="center"/>
              <w:rPr>
                <w:rFonts w:eastAsia="Calibri"/>
                <w:bCs/>
                <w:spacing w:val="-3"/>
                <w:sz w:val="20"/>
              </w:rPr>
            </w:pPr>
            <w:r>
              <w:rPr>
                <w:bCs/>
                <w:spacing w:val="-3"/>
                <w:sz w:val="20"/>
              </w:rPr>
              <w:t>Формула расчета</w:t>
            </w:r>
          </w:p>
          <w:p w14:paraId="2F9216B3" w14:textId="77777777" w:rsidR="008C0A68" w:rsidRDefault="008C0A68" w:rsidP="00E41AB9">
            <w:pPr>
              <w:keepLines/>
              <w:jc w:val="center"/>
              <w:rPr>
                <w:bCs/>
                <w:spacing w:val="-3"/>
                <w:sz w:val="20"/>
              </w:rPr>
            </w:pPr>
            <w:r>
              <w:rPr>
                <w:bCs/>
                <w:spacing w:val="-3"/>
                <w:sz w:val="20"/>
              </w:rPr>
              <w:t>(с использованием данных строк бухгалтерского баланса)</w:t>
            </w:r>
          </w:p>
        </w:tc>
        <w:tc>
          <w:tcPr>
            <w:tcW w:w="2101" w:type="pct"/>
            <w:tcBorders>
              <w:top w:val="single" w:sz="4" w:space="0" w:color="auto"/>
              <w:left w:val="single" w:sz="4" w:space="0" w:color="auto"/>
              <w:bottom w:val="single" w:sz="4" w:space="0" w:color="auto"/>
              <w:right w:val="single" w:sz="4" w:space="0" w:color="auto"/>
            </w:tcBorders>
            <w:vAlign w:val="center"/>
            <w:hideMark/>
          </w:tcPr>
          <w:p w14:paraId="127D95BD" w14:textId="77777777" w:rsidR="008C0A68" w:rsidRDefault="008C0A68" w:rsidP="00E41AB9">
            <w:pPr>
              <w:keepLines/>
              <w:ind w:hanging="20"/>
              <w:jc w:val="center"/>
              <w:rPr>
                <w:bCs/>
                <w:spacing w:val="-3"/>
                <w:sz w:val="20"/>
              </w:rPr>
            </w:pPr>
            <w:r>
              <w:rPr>
                <w:bCs/>
                <w:spacing w:val="-3"/>
                <w:sz w:val="20"/>
              </w:rPr>
              <w:t>Примечания</w:t>
            </w:r>
          </w:p>
        </w:tc>
      </w:tr>
      <w:tr w:rsidR="008C0A68" w14:paraId="1EFD0656" w14:textId="77777777" w:rsidTr="00E41AB9">
        <w:trPr>
          <w:cantSplit/>
          <w:trHeight w:val="766"/>
        </w:trPr>
        <w:tc>
          <w:tcPr>
            <w:tcW w:w="242" w:type="pct"/>
            <w:tcBorders>
              <w:top w:val="single" w:sz="4" w:space="0" w:color="auto"/>
              <w:left w:val="single" w:sz="4" w:space="0" w:color="auto"/>
              <w:bottom w:val="single" w:sz="4" w:space="0" w:color="auto"/>
              <w:right w:val="single" w:sz="4" w:space="0" w:color="auto"/>
            </w:tcBorders>
            <w:vAlign w:val="center"/>
            <w:hideMark/>
          </w:tcPr>
          <w:p w14:paraId="79B6F602" w14:textId="77777777" w:rsidR="008C0A68" w:rsidRDefault="008C0A68" w:rsidP="00E41AB9">
            <w:pPr>
              <w:keepLines/>
              <w:jc w:val="center"/>
              <w:rPr>
                <w:rFonts w:eastAsia="MS Mincho"/>
                <w:bCs/>
                <w:i/>
                <w:iCs/>
                <w:sz w:val="20"/>
              </w:rPr>
            </w:pPr>
            <w:r>
              <w:rPr>
                <w:rFonts w:eastAsia="MS Mincho"/>
                <w:bCs/>
                <w:i/>
                <w:iCs/>
                <w:sz w:val="20"/>
              </w:rPr>
              <w:t>К1</w:t>
            </w:r>
          </w:p>
        </w:tc>
        <w:tc>
          <w:tcPr>
            <w:tcW w:w="1044" w:type="pct"/>
            <w:tcBorders>
              <w:top w:val="single" w:sz="4" w:space="0" w:color="auto"/>
              <w:left w:val="single" w:sz="4" w:space="0" w:color="auto"/>
              <w:bottom w:val="single" w:sz="4" w:space="0" w:color="auto"/>
              <w:right w:val="single" w:sz="4" w:space="0" w:color="auto"/>
            </w:tcBorders>
            <w:vAlign w:val="center"/>
            <w:hideMark/>
          </w:tcPr>
          <w:p w14:paraId="7B08A8D4" w14:textId="77777777" w:rsidR="008C0A68" w:rsidRDefault="008C0A68" w:rsidP="00E41AB9">
            <w:pPr>
              <w:keepLines/>
              <w:rPr>
                <w:rFonts w:eastAsia="Calibri"/>
                <w:sz w:val="20"/>
              </w:rPr>
            </w:pPr>
            <w:r>
              <w:rPr>
                <w:sz w:val="20"/>
              </w:rPr>
              <w:t>Коэффициент финансовой независимости</w:t>
            </w:r>
          </w:p>
        </w:tc>
        <w:tc>
          <w:tcPr>
            <w:tcW w:w="1613" w:type="pct"/>
            <w:tcBorders>
              <w:top w:val="single" w:sz="4" w:space="0" w:color="auto"/>
              <w:left w:val="single" w:sz="4" w:space="0" w:color="auto"/>
              <w:bottom w:val="single" w:sz="4" w:space="0" w:color="auto"/>
              <w:right w:val="single" w:sz="4" w:space="0" w:color="auto"/>
            </w:tcBorders>
            <w:vAlign w:val="center"/>
            <w:hideMark/>
          </w:tcPr>
          <w:p w14:paraId="1641C1D5" w14:textId="77777777" w:rsidR="008C0A68" w:rsidRDefault="008C0A68" w:rsidP="00E41AB9">
            <w:pPr>
              <w:keepLines/>
              <w:jc w:val="center"/>
              <w:rPr>
                <w:rFonts w:eastAsia="MS Mincho"/>
                <w:sz w:val="20"/>
              </w:rPr>
            </w:pPr>
            <w:r>
              <w:rPr>
                <w:bCs/>
                <w:sz w:val="20"/>
              </w:rPr>
              <w:t>К1 = (стр. 1300) / (стр.1700)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73B5C2BF" w14:textId="77777777" w:rsidR="008C0A68" w:rsidRDefault="008C0A68" w:rsidP="00E41AB9">
            <w:pPr>
              <w:keepLines/>
              <w:rPr>
                <w:rFonts w:eastAsia="Calibri"/>
                <w:sz w:val="20"/>
              </w:rPr>
            </w:pPr>
            <w:r>
              <w:rPr>
                <w:sz w:val="20"/>
              </w:rPr>
              <w:t>Отношение капитала и резервов организации к итогу баланса и характеризует независимость Заемщика от заемного капитала.</w:t>
            </w:r>
          </w:p>
        </w:tc>
      </w:tr>
      <w:tr w:rsidR="008C0A68" w14:paraId="633EE15C" w14:textId="77777777" w:rsidTr="00E41AB9">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14:paraId="6BE8C8E9" w14:textId="77777777" w:rsidR="008C0A68" w:rsidRDefault="008C0A68" w:rsidP="00E41AB9">
            <w:pPr>
              <w:keepLines/>
              <w:jc w:val="center"/>
              <w:rPr>
                <w:rFonts w:eastAsia="MS Mincho"/>
                <w:bCs/>
                <w:i/>
                <w:iCs/>
                <w:sz w:val="20"/>
              </w:rPr>
            </w:pPr>
            <w:r>
              <w:rPr>
                <w:rFonts w:eastAsia="MS Mincho"/>
                <w:bCs/>
                <w:i/>
                <w:iCs/>
                <w:sz w:val="20"/>
              </w:rPr>
              <w:t>К2</w:t>
            </w:r>
          </w:p>
        </w:tc>
        <w:tc>
          <w:tcPr>
            <w:tcW w:w="1044" w:type="pct"/>
            <w:tcBorders>
              <w:top w:val="single" w:sz="4" w:space="0" w:color="auto"/>
              <w:left w:val="single" w:sz="4" w:space="0" w:color="auto"/>
              <w:bottom w:val="single" w:sz="4" w:space="0" w:color="auto"/>
              <w:right w:val="single" w:sz="4" w:space="0" w:color="auto"/>
            </w:tcBorders>
            <w:vAlign w:val="center"/>
            <w:hideMark/>
          </w:tcPr>
          <w:p w14:paraId="5C709146" w14:textId="77777777" w:rsidR="008C0A68" w:rsidRDefault="008C0A68" w:rsidP="00E41AB9">
            <w:pPr>
              <w:keepLines/>
              <w:rPr>
                <w:rFonts w:eastAsia="Calibri"/>
                <w:sz w:val="20"/>
              </w:rPr>
            </w:pPr>
            <w:r>
              <w:rPr>
                <w:sz w:val="20"/>
              </w:rPr>
              <w:t>Коэффициент обеспеченности собственными оборотными средствами</w:t>
            </w:r>
          </w:p>
        </w:tc>
        <w:tc>
          <w:tcPr>
            <w:tcW w:w="1613" w:type="pct"/>
            <w:tcBorders>
              <w:top w:val="single" w:sz="4" w:space="0" w:color="auto"/>
              <w:left w:val="single" w:sz="4" w:space="0" w:color="auto"/>
              <w:bottom w:val="single" w:sz="4" w:space="0" w:color="auto"/>
              <w:right w:val="single" w:sz="4" w:space="0" w:color="auto"/>
            </w:tcBorders>
            <w:vAlign w:val="center"/>
            <w:hideMark/>
          </w:tcPr>
          <w:p w14:paraId="6582035E" w14:textId="77777777" w:rsidR="008C0A68" w:rsidRDefault="008C0A68" w:rsidP="00E41AB9">
            <w:pPr>
              <w:keepLines/>
              <w:jc w:val="center"/>
              <w:rPr>
                <w:bCs/>
                <w:sz w:val="20"/>
              </w:rPr>
            </w:pPr>
            <w:r>
              <w:rPr>
                <w:bCs/>
                <w:sz w:val="20"/>
              </w:rPr>
              <w:t>К2 = (стр.1300–стр.1100) / (стр.1200)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47C81E4A" w14:textId="77777777" w:rsidR="008C0A68" w:rsidRDefault="008C0A68" w:rsidP="00E41AB9">
            <w:pPr>
              <w:keepLines/>
              <w:rPr>
                <w:rFonts w:eastAsia="MS Mincho"/>
                <w:sz w:val="20"/>
              </w:rPr>
            </w:pPr>
            <w:r>
              <w:rPr>
                <w:sz w:val="20"/>
              </w:rPr>
              <w:t>Отношение разности по статьям: капиталы и резервы организации и внеоборотные активы к оборотным активам.</w:t>
            </w:r>
          </w:p>
        </w:tc>
      </w:tr>
      <w:tr w:rsidR="008C0A68" w14:paraId="65F620E1" w14:textId="77777777" w:rsidTr="00E41AB9">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14:paraId="7E587683" w14:textId="77777777" w:rsidR="008C0A68" w:rsidRDefault="008C0A68" w:rsidP="00E41AB9">
            <w:pPr>
              <w:keepLines/>
              <w:jc w:val="center"/>
              <w:rPr>
                <w:rFonts w:eastAsia="MS Mincho"/>
                <w:bCs/>
                <w:sz w:val="20"/>
              </w:rPr>
            </w:pPr>
            <w:r>
              <w:rPr>
                <w:rFonts w:eastAsia="MS Mincho"/>
                <w:bCs/>
                <w:i/>
                <w:iCs/>
                <w:sz w:val="20"/>
              </w:rPr>
              <w:t>К3</w:t>
            </w:r>
          </w:p>
        </w:tc>
        <w:tc>
          <w:tcPr>
            <w:tcW w:w="1044" w:type="pct"/>
            <w:tcBorders>
              <w:top w:val="single" w:sz="4" w:space="0" w:color="auto"/>
              <w:left w:val="single" w:sz="4" w:space="0" w:color="auto"/>
              <w:bottom w:val="single" w:sz="4" w:space="0" w:color="auto"/>
              <w:right w:val="single" w:sz="4" w:space="0" w:color="auto"/>
            </w:tcBorders>
            <w:vAlign w:val="center"/>
            <w:hideMark/>
          </w:tcPr>
          <w:p w14:paraId="22C7759B" w14:textId="77777777" w:rsidR="008C0A68" w:rsidRDefault="008C0A68" w:rsidP="00E41AB9">
            <w:pPr>
              <w:keepLines/>
              <w:rPr>
                <w:rFonts w:eastAsia="MS Mincho"/>
                <w:bCs/>
                <w:sz w:val="20"/>
              </w:rPr>
            </w:pPr>
            <w:r>
              <w:rPr>
                <w:sz w:val="20"/>
              </w:rPr>
              <w:t>Коэффициент текущей ликвидности</w:t>
            </w:r>
          </w:p>
        </w:tc>
        <w:tc>
          <w:tcPr>
            <w:tcW w:w="1613" w:type="pct"/>
            <w:tcBorders>
              <w:top w:val="single" w:sz="4" w:space="0" w:color="auto"/>
              <w:left w:val="single" w:sz="4" w:space="0" w:color="auto"/>
              <w:bottom w:val="single" w:sz="4" w:space="0" w:color="auto"/>
              <w:right w:val="single" w:sz="4" w:space="0" w:color="auto"/>
            </w:tcBorders>
            <w:vAlign w:val="center"/>
            <w:hideMark/>
          </w:tcPr>
          <w:p w14:paraId="58F77214" w14:textId="77777777" w:rsidR="008C0A68" w:rsidRDefault="008C0A68" w:rsidP="00E41AB9">
            <w:pPr>
              <w:keepLines/>
              <w:jc w:val="center"/>
              <w:rPr>
                <w:rFonts w:eastAsia="Calibri"/>
                <w:bCs/>
                <w:spacing w:val="-3"/>
                <w:sz w:val="20"/>
              </w:rPr>
            </w:pPr>
            <w:r>
              <w:rPr>
                <w:bCs/>
                <w:sz w:val="20"/>
              </w:rPr>
              <w:t>К3 = (стр.1200 – просроченная дебиторская задолженность*) / (стр.1500)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27E06101" w14:textId="77777777" w:rsidR="008C0A68" w:rsidRDefault="008C0A68" w:rsidP="00E41AB9">
            <w:pPr>
              <w:keepLines/>
              <w:ind w:hanging="20"/>
              <w:rPr>
                <w:bCs/>
                <w:spacing w:val="-3"/>
                <w:sz w:val="20"/>
              </w:rPr>
            </w:pPr>
            <w:r>
              <w:rPr>
                <w:sz w:val="20"/>
              </w:rPr>
              <w:t>Отношение общей суммы оборотных активов к краткосрочным обязательствам.</w:t>
            </w:r>
          </w:p>
        </w:tc>
      </w:tr>
      <w:tr w:rsidR="008C0A68" w14:paraId="31F987F1" w14:textId="77777777" w:rsidTr="00E41AB9">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14:paraId="2E583673" w14:textId="77777777" w:rsidR="008C0A68" w:rsidRDefault="008C0A68" w:rsidP="00E41AB9">
            <w:pPr>
              <w:keepLines/>
              <w:jc w:val="center"/>
              <w:rPr>
                <w:rFonts w:eastAsia="MS Mincho"/>
                <w:bCs/>
                <w:i/>
                <w:iCs/>
                <w:sz w:val="20"/>
              </w:rPr>
            </w:pPr>
            <w:r>
              <w:rPr>
                <w:rFonts w:eastAsia="MS Mincho"/>
                <w:bCs/>
                <w:i/>
                <w:iCs/>
                <w:sz w:val="20"/>
              </w:rPr>
              <w:t>К4</w:t>
            </w:r>
          </w:p>
        </w:tc>
        <w:tc>
          <w:tcPr>
            <w:tcW w:w="1044" w:type="pct"/>
            <w:tcBorders>
              <w:top w:val="single" w:sz="4" w:space="0" w:color="auto"/>
              <w:left w:val="single" w:sz="4" w:space="0" w:color="auto"/>
              <w:bottom w:val="single" w:sz="4" w:space="0" w:color="auto"/>
              <w:right w:val="single" w:sz="4" w:space="0" w:color="auto"/>
            </w:tcBorders>
            <w:vAlign w:val="center"/>
            <w:hideMark/>
          </w:tcPr>
          <w:p w14:paraId="092DA409" w14:textId="77777777" w:rsidR="008C0A68" w:rsidRDefault="008C0A68" w:rsidP="00E41AB9">
            <w:pPr>
              <w:keepLines/>
              <w:rPr>
                <w:rFonts w:eastAsia="Calibri"/>
                <w:sz w:val="20"/>
              </w:rPr>
            </w:pPr>
            <w:r>
              <w:rPr>
                <w:sz w:val="20"/>
              </w:rPr>
              <w:t>Коэффициент срочной ликвидности</w:t>
            </w:r>
          </w:p>
        </w:tc>
        <w:tc>
          <w:tcPr>
            <w:tcW w:w="1613" w:type="pct"/>
            <w:tcBorders>
              <w:top w:val="single" w:sz="4" w:space="0" w:color="auto"/>
              <w:left w:val="single" w:sz="4" w:space="0" w:color="auto"/>
              <w:bottom w:val="single" w:sz="4" w:space="0" w:color="auto"/>
              <w:right w:val="single" w:sz="4" w:space="0" w:color="auto"/>
            </w:tcBorders>
            <w:vAlign w:val="center"/>
            <w:hideMark/>
          </w:tcPr>
          <w:p w14:paraId="36FAA0F9" w14:textId="77777777" w:rsidR="008C0A68" w:rsidRDefault="008C0A68" w:rsidP="00E41AB9">
            <w:pPr>
              <w:keepLines/>
              <w:jc w:val="center"/>
              <w:rPr>
                <w:bCs/>
                <w:sz w:val="20"/>
              </w:rPr>
            </w:pPr>
            <w:r>
              <w:rPr>
                <w:bCs/>
                <w:sz w:val="20"/>
              </w:rPr>
              <w:t>К4= (стр.1230+стр.1240 +стр.1250- просроченная дебиторская задолженность*) /</w:t>
            </w:r>
          </w:p>
          <w:p w14:paraId="47FE30AC" w14:textId="77777777" w:rsidR="008C0A68" w:rsidRDefault="008C0A68" w:rsidP="00E41AB9">
            <w:pPr>
              <w:keepLines/>
              <w:jc w:val="center"/>
              <w:rPr>
                <w:bCs/>
                <w:sz w:val="20"/>
              </w:rPr>
            </w:pPr>
            <w:r>
              <w:rPr>
                <w:bCs/>
                <w:sz w:val="20"/>
              </w:rPr>
              <w:t>(стр.1500 -стр.1530- стр.1540)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7D9E0382" w14:textId="77777777" w:rsidR="008C0A68" w:rsidRDefault="008C0A68" w:rsidP="00E41AB9">
            <w:pPr>
              <w:keepLines/>
              <w:rPr>
                <w:rFonts w:eastAsia="MS Mincho"/>
                <w:sz w:val="20"/>
              </w:rPr>
            </w:pPr>
            <w:r>
              <w:rPr>
                <w:sz w:val="20"/>
              </w:rPr>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8C0A68" w14:paraId="4C6C6D2E" w14:textId="77777777" w:rsidTr="00E41AB9">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14:paraId="4CE0E9D0" w14:textId="77777777" w:rsidR="008C0A68" w:rsidRDefault="008C0A68" w:rsidP="00E41AB9">
            <w:pPr>
              <w:keepLines/>
              <w:jc w:val="center"/>
              <w:rPr>
                <w:rFonts w:eastAsia="MS Mincho"/>
                <w:bCs/>
                <w:i/>
                <w:iCs/>
                <w:sz w:val="20"/>
              </w:rPr>
            </w:pPr>
            <w:r>
              <w:rPr>
                <w:rFonts w:eastAsia="MS Mincho"/>
                <w:bCs/>
                <w:i/>
                <w:iCs/>
                <w:sz w:val="20"/>
              </w:rPr>
              <w:t>К5</w:t>
            </w:r>
          </w:p>
        </w:tc>
        <w:tc>
          <w:tcPr>
            <w:tcW w:w="1044" w:type="pct"/>
            <w:tcBorders>
              <w:top w:val="single" w:sz="4" w:space="0" w:color="auto"/>
              <w:left w:val="single" w:sz="4" w:space="0" w:color="auto"/>
              <w:bottom w:val="single" w:sz="4" w:space="0" w:color="auto"/>
              <w:right w:val="single" w:sz="4" w:space="0" w:color="auto"/>
            </w:tcBorders>
            <w:vAlign w:val="center"/>
            <w:hideMark/>
          </w:tcPr>
          <w:p w14:paraId="6B76B26B" w14:textId="77777777" w:rsidR="008C0A68" w:rsidRDefault="008C0A68" w:rsidP="00E41AB9">
            <w:pPr>
              <w:keepLines/>
              <w:rPr>
                <w:rFonts w:eastAsia="Calibri"/>
                <w:sz w:val="20"/>
              </w:rPr>
            </w:pPr>
            <w:r>
              <w:rPr>
                <w:sz w:val="20"/>
              </w:rPr>
              <w:t>Рентабельность продаж</w:t>
            </w:r>
          </w:p>
        </w:tc>
        <w:tc>
          <w:tcPr>
            <w:tcW w:w="1613" w:type="pct"/>
            <w:tcBorders>
              <w:top w:val="single" w:sz="4" w:space="0" w:color="auto"/>
              <w:left w:val="single" w:sz="4" w:space="0" w:color="auto"/>
              <w:bottom w:val="single" w:sz="4" w:space="0" w:color="auto"/>
              <w:right w:val="single" w:sz="4" w:space="0" w:color="auto"/>
            </w:tcBorders>
            <w:vAlign w:val="center"/>
            <w:hideMark/>
          </w:tcPr>
          <w:p w14:paraId="43A79541" w14:textId="77777777" w:rsidR="008C0A68" w:rsidRDefault="008C0A68" w:rsidP="00E41AB9">
            <w:pPr>
              <w:keepLines/>
              <w:jc w:val="center"/>
              <w:rPr>
                <w:bCs/>
                <w:sz w:val="20"/>
                <w:u w:val="single"/>
              </w:rPr>
            </w:pPr>
            <w:r>
              <w:rPr>
                <w:bCs/>
                <w:sz w:val="20"/>
              </w:rPr>
              <w:t>К5 = стр. 2200 / стр. 2110**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0F15A520" w14:textId="77777777" w:rsidR="008C0A68" w:rsidRDefault="008C0A68" w:rsidP="00E41AB9">
            <w:pPr>
              <w:keepLines/>
              <w:rPr>
                <w:sz w:val="20"/>
              </w:rPr>
            </w:pPr>
            <w:r>
              <w:rPr>
                <w:sz w:val="20"/>
              </w:rPr>
              <w:t>Отношение прибыли от продаж к выручке от продажи товаров, продукции, работ, услуг.</w:t>
            </w:r>
          </w:p>
        </w:tc>
      </w:tr>
      <w:tr w:rsidR="008C0A68" w14:paraId="60B77781" w14:textId="77777777" w:rsidTr="00E41AB9">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14:paraId="76A54C28" w14:textId="77777777" w:rsidR="008C0A68" w:rsidRDefault="008C0A68" w:rsidP="00E41AB9">
            <w:pPr>
              <w:keepLines/>
              <w:jc w:val="center"/>
              <w:rPr>
                <w:rFonts w:eastAsia="MS Mincho"/>
                <w:bCs/>
                <w:i/>
                <w:iCs/>
                <w:sz w:val="20"/>
              </w:rPr>
            </w:pPr>
            <w:r>
              <w:rPr>
                <w:rFonts w:eastAsia="MS Mincho"/>
                <w:bCs/>
                <w:i/>
                <w:iCs/>
                <w:sz w:val="20"/>
              </w:rPr>
              <w:t>К6</w:t>
            </w:r>
          </w:p>
        </w:tc>
        <w:tc>
          <w:tcPr>
            <w:tcW w:w="1044" w:type="pct"/>
            <w:tcBorders>
              <w:top w:val="single" w:sz="4" w:space="0" w:color="auto"/>
              <w:left w:val="single" w:sz="4" w:space="0" w:color="auto"/>
              <w:bottom w:val="single" w:sz="4" w:space="0" w:color="auto"/>
              <w:right w:val="single" w:sz="4" w:space="0" w:color="auto"/>
            </w:tcBorders>
            <w:vAlign w:val="center"/>
            <w:hideMark/>
          </w:tcPr>
          <w:p w14:paraId="3E67A18D" w14:textId="77777777" w:rsidR="008C0A68" w:rsidRDefault="008C0A68" w:rsidP="00E41AB9">
            <w:pPr>
              <w:keepLines/>
              <w:rPr>
                <w:rFonts w:eastAsia="Calibri"/>
                <w:sz w:val="20"/>
              </w:rPr>
            </w:pPr>
            <w:r>
              <w:rPr>
                <w:sz w:val="20"/>
              </w:rPr>
              <w:t xml:space="preserve">Рентабельность реализации продукции </w:t>
            </w:r>
          </w:p>
        </w:tc>
        <w:tc>
          <w:tcPr>
            <w:tcW w:w="1613" w:type="pct"/>
            <w:tcBorders>
              <w:top w:val="single" w:sz="4" w:space="0" w:color="auto"/>
              <w:left w:val="single" w:sz="4" w:space="0" w:color="auto"/>
              <w:bottom w:val="single" w:sz="4" w:space="0" w:color="auto"/>
              <w:right w:val="single" w:sz="4" w:space="0" w:color="auto"/>
            </w:tcBorders>
            <w:vAlign w:val="center"/>
            <w:hideMark/>
          </w:tcPr>
          <w:p w14:paraId="28AD845A" w14:textId="77777777" w:rsidR="008C0A68" w:rsidRDefault="008C0A68" w:rsidP="00E41AB9">
            <w:pPr>
              <w:keepLines/>
              <w:jc w:val="center"/>
              <w:rPr>
                <w:bCs/>
                <w:sz w:val="20"/>
              </w:rPr>
            </w:pPr>
            <w:r>
              <w:rPr>
                <w:bCs/>
                <w:sz w:val="20"/>
              </w:rPr>
              <w:t>К6 = стр. 2400 / стр. 2110**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23BB3A47" w14:textId="77777777" w:rsidR="008C0A68" w:rsidRDefault="008C0A68" w:rsidP="00E41AB9">
            <w:pPr>
              <w:keepLines/>
              <w:rPr>
                <w:sz w:val="20"/>
              </w:rPr>
            </w:pPr>
            <w:r>
              <w:rPr>
                <w:sz w:val="20"/>
              </w:rPr>
              <w:t>Отношение чистой прибыли к выручке от продаж.</w:t>
            </w:r>
          </w:p>
        </w:tc>
      </w:tr>
      <w:tr w:rsidR="008C0A68" w14:paraId="2CD60D47" w14:textId="77777777" w:rsidTr="00E41AB9">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14:paraId="7970752A" w14:textId="77777777" w:rsidR="008C0A68" w:rsidRDefault="008C0A68" w:rsidP="00E41AB9">
            <w:pPr>
              <w:keepLines/>
              <w:jc w:val="center"/>
              <w:rPr>
                <w:rFonts w:eastAsia="MS Mincho"/>
                <w:bCs/>
                <w:i/>
                <w:iCs/>
                <w:sz w:val="20"/>
              </w:rPr>
            </w:pPr>
            <w:r>
              <w:rPr>
                <w:rFonts w:eastAsia="MS Mincho"/>
                <w:bCs/>
                <w:i/>
                <w:iCs/>
                <w:sz w:val="20"/>
              </w:rPr>
              <w:t>К7</w:t>
            </w:r>
          </w:p>
        </w:tc>
        <w:tc>
          <w:tcPr>
            <w:tcW w:w="1044" w:type="pct"/>
            <w:tcBorders>
              <w:top w:val="single" w:sz="4" w:space="0" w:color="auto"/>
              <w:left w:val="single" w:sz="4" w:space="0" w:color="auto"/>
              <w:bottom w:val="single" w:sz="4" w:space="0" w:color="auto"/>
              <w:right w:val="single" w:sz="4" w:space="0" w:color="auto"/>
            </w:tcBorders>
            <w:vAlign w:val="center"/>
            <w:hideMark/>
          </w:tcPr>
          <w:p w14:paraId="6A4BBC46" w14:textId="77777777" w:rsidR="008C0A68" w:rsidRDefault="008C0A68" w:rsidP="00E41AB9">
            <w:pPr>
              <w:keepLines/>
              <w:rPr>
                <w:rFonts w:eastAsia="Calibri"/>
                <w:sz w:val="20"/>
              </w:rPr>
            </w:pPr>
            <w:r>
              <w:rPr>
                <w:sz w:val="20"/>
              </w:rPr>
              <w:t>Оборачиваемость товарно-</w:t>
            </w:r>
            <w:r>
              <w:rPr>
                <w:sz w:val="20"/>
              </w:rPr>
              <w:lastRenderedPageBreak/>
              <w:t>материальных запасов</w:t>
            </w:r>
          </w:p>
        </w:tc>
        <w:tc>
          <w:tcPr>
            <w:tcW w:w="1613" w:type="pct"/>
            <w:tcBorders>
              <w:top w:val="single" w:sz="4" w:space="0" w:color="auto"/>
              <w:left w:val="single" w:sz="4" w:space="0" w:color="auto"/>
              <w:bottom w:val="single" w:sz="4" w:space="0" w:color="auto"/>
              <w:right w:val="single" w:sz="4" w:space="0" w:color="auto"/>
            </w:tcBorders>
            <w:vAlign w:val="center"/>
            <w:hideMark/>
          </w:tcPr>
          <w:p w14:paraId="7682B88C" w14:textId="77777777" w:rsidR="008C0A68" w:rsidRDefault="008C0A68" w:rsidP="00E41AB9">
            <w:pPr>
              <w:keepLines/>
              <w:jc w:val="center"/>
              <w:rPr>
                <w:bCs/>
                <w:sz w:val="20"/>
              </w:rPr>
            </w:pPr>
            <w:r>
              <w:rPr>
                <w:bCs/>
                <w:sz w:val="20"/>
              </w:rPr>
              <w:lastRenderedPageBreak/>
              <w:t xml:space="preserve">К7 = </w:t>
            </w:r>
          </w:p>
          <w:p w14:paraId="0FEEBB03" w14:textId="77777777" w:rsidR="008C0A68" w:rsidRDefault="008C0A68" w:rsidP="00E41AB9">
            <w:pPr>
              <w:keepLines/>
              <w:jc w:val="center"/>
              <w:rPr>
                <w:rFonts w:eastAsia="MS Mincho"/>
                <w:sz w:val="20"/>
              </w:rPr>
            </w:pPr>
            <w:r>
              <w:rPr>
                <w:bCs/>
                <w:sz w:val="20"/>
              </w:rPr>
              <w:t xml:space="preserve">(стр. 1210 * </w:t>
            </w:r>
            <w:r>
              <w:rPr>
                <w:bCs/>
                <w:i/>
                <w:iCs/>
                <w:sz w:val="20"/>
              </w:rPr>
              <w:t xml:space="preserve">длительность периода (в днях) / </w:t>
            </w:r>
            <w:r>
              <w:rPr>
                <w:bCs/>
                <w:sz w:val="20"/>
              </w:rPr>
              <w:t>стр. 2120**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54892826" w14:textId="77777777" w:rsidR="008C0A68" w:rsidRDefault="008C0A68" w:rsidP="00E41AB9">
            <w:pPr>
              <w:keepLines/>
              <w:rPr>
                <w:rFonts w:eastAsia="Calibri"/>
                <w:sz w:val="20"/>
              </w:rPr>
            </w:pPr>
            <w:r>
              <w:rPr>
                <w:sz w:val="20"/>
              </w:rPr>
              <w:t xml:space="preserve">Отношение величины запасов умноженной на длительность периода в </w:t>
            </w:r>
            <w:r>
              <w:rPr>
                <w:sz w:val="20"/>
              </w:rPr>
              <w:lastRenderedPageBreak/>
              <w:t>днях к себестоимости проданных товаров, продукции, услуг.</w:t>
            </w:r>
          </w:p>
        </w:tc>
      </w:tr>
      <w:tr w:rsidR="008C0A68" w14:paraId="4F86363B" w14:textId="77777777" w:rsidTr="00E41AB9">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14:paraId="2AC81D9C" w14:textId="77777777" w:rsidR="008C0A68" w:rsidRDefault="008C0A68" w:rsidP="00E41AB9">
            <w:pPr>
              <w:keepLines/>
              <w:jc w:val="center"/>
              <w:rPr>
                <w:rFonts w:eastAsia="MS Mincho"/>
                <w:bCs/>
                <w:i/>
                <w:iCs/>
                <w:sz w:val="20"/>
              </w:rPr>
            </w:pPr>
            <w:r>
              <w:rPr>
                <w:rFonts w:eastAsia="MS Mincho"/>
                <w:bCs/>
                <w:i/>
                <w:iCs/>
                <w:sz w:val="20"/>
              </w:rPr>
              <w:lastRenderedPageBreak/>
              <w:t>К8</w:t>
            </w:r>
          </w:p>
        </w:tc>
        <w:tc>
          <w:tcPr>
            <w:tcW w:w="1044" w:type="pct"/>
            <w:tcBorders>
              <w:top w:val="single" w:sz="4" w:space="0" w:color="auto"/>
              <w:left w:val="single" w:sz="4" w:space="0" w:color="auto"/>
              <w:bottom w:val="single" w:sz="4" w:space="0" w:color="auto"/>
              <w:right w:val="single" w:sz="4" w:space="0" w:color="auto"/>
            </w:tcBorders>
            <w:vAlign w:val="center"/>
            <w:hideMark/>
          </w:tcPr>
          <w:p w14:paraId="5A24A1B8" w14:textId="77777777" w:rsidR="008C0A68" w:rsidRDefault="008C0A68" w:rsidP="00E41AB9">
            <w:pPr>
              <w:keepLines/>
              <w:rPr>
                <w:rFonts w:eastAsia="Calibri"/>
                <w:sz w:val="20"/>
              </w:rPr>
            </w:pPr>
            <w:r>
              <w:rPr>
                <w:sz w:val="20"/>
              </w:rPr>
              <w:t xml:space="preserve">Оборачиваемость дебиторской задолженности </w:t>
            </w:r>
          </w:p>
          <w:p w14:paraId="4A5CE496" w14:textId="77777777" w:rsidR="008C0A68" w:rsidRDefault="008C0A68" w:rsidP="00E41AB9">
            <w:pPr>
              <w:keepLines/>
              <w:rPr>
                <w:sz w:val="20"/>
              </w:rPr>
            </w:pPr>
            <w:r>
              <w:rPr>
                <w:sz w:val="20"/>
              </w:rPr>
              <w:t>(в днях)</w:t>
            </w:r>
          </w:p>
        </w:tc>
        <w:tc>
          <w:tcPr>
            <w:tcW w:w="1613" w:type="pct"/>
            <w:tcBorders>
              <w:top w:val="single" w:sz="4" w:space="0" w:color="auto"/>
              <w:left w:val="single" w:sz="4" w:space="0" w:color="auto"/>
              <w:bottom w:val="single" w:sz="4" w:space="0" w:color="auto"/>
              <w:right w:val="single" w:sz="4" w:space="0" w:color="auto"/>
            </w:tcBorders>
            <w:vAlign w:val="center"/>
            <w:hideMark/>
          </w:tcPr>
          <w:p w14:paraId="68BA390A" w14:textId="77777777" w:rsidR="008C0A68" w:rsidRDefault="008C0A68" w:rsidP="00E41AB9">
            <w:pPr>
              <w:keepLines/>
              <w:jc w:val="center"/>
              <w:rPr>
                <w:rFonts w:eastAsia="MS Mincho"/>
                <w:sz w:val="20"/>
              </w:rPr>
            </w:pPr>
            <w:r>
              <w:rPr>
                <w:bCs/>
                <w:sz w:val="20"/>
              </w:rPr>
              <w:t xml:space="preserve">К8 = стр. 1230 * </w:t>
            </w:r>
            <w:r>
              <w:rPr>
                <w:bCs/>
                <w:i/>
                <w:iCs/>
                <w:sz w:val="20"/>
              </w:rPr>
              <w:t xml:space="preserve">длительность периода (в днях) / </w:t>
            </w:r>
            <w:r>
              <w:rPr>
                <w:bCs/>
                <w:sz w:val="20"/>
              </w:rPr>
              <w:t>стр. 2110**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4B2B19B6" w14:textId="77777777" w:rsidR="008C0A68" w:rsidRDefault="008C0A68" w:rsidP="00E41AB9">
            <w:pPr>
              <w:keepLines/>
              <w:rPr>
                <w:rFonts w:eastAsia="Calibri"/>
                <w:sz w:val="20"/>
              </w:rPr>
            </w:pPr>
            <w:r>
              <w:rPr>
                <w:sz w:val="20"/>
              </w:rPr>
              <w:t>Показывает, за сколько дней в среднем осуществляется один цикл сбыта продукции.</w:t>
            </w:r>
          </w:p>
        </w:tc>
      </w:tr>
      <w:tr w:rsidR="008C0A68" w14:paraId="5B7E1118" w14:textId="77777777" w:rsidTr="00E41AB9">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14:paraId="6ADB4A7A" w14:textId="77777777" w:rsidR="008C0A68" w:rsidRDefault="008C0A68" w:rsidP="00E41AB9">
            <w:pPr>
              <w:keepLines/>
              <w:jc w:val="center"/>
              <w:rPr>
                <w:rFonts w:eastAsia="MS Mincho"/>
                <w:bCs/>
                <w:i/>
                <w:iCs/>
                <w:sz w:val="20"/>
              </w:rPr>
            </w:pPr>
            <w:r>
              <w:rPr>
                <w:rFonts w:eastAsia="MS Mincho"/>
                <w:bCs/>
                <w:i/>
                <w:iCs/>
                <w:sz w:val="20"/>
              </w:rPr>
              <w:t>К9</w:t>
            </w:r>
          </w:p>
        </w:tc>
        <w:tc>
          <w:tcPr>
            <w:tcW w:w="1044" w:type="pct"/>
            <w:tcBorders>
              <w:top w:val="single" w:sz="4" w:space="0" w:color="auto"/>
              <w:left w:val="single" w:sz="4" w:space="0" w:color="auto"/>
              <w:bottom w:val="single" w:sz="4" w:space="0" w:color="auto"/>
              <w:right w:val="single" w:sz="4" w:space="0" w:color="auto"/>
            </w:tcBorders>
            <w:vAlign w:val="center"/>
            <w:hideMark/>
          </w:tcPr>
          <w:p w14:paraId="79C50A60" w14:textId="77777777" w:rsidR="008C0A68" w:rsidRDefault="008C0A68" w:rsidP="00E41AB9">
            <w:pPr>
              <w:keepLines/>
              <w:rPr>
                <w:rFonts w:eastAsia="Calibri"/>
                <w:sz w:val="20"/>
              </w:rPr>
            </w:pPr>
            <w:r>
              <w:rPr>
                <w:sz w:val="20"/>
              </w:rPr>
              <w:t>Оборачиваемость кредиторской задолженности</w:t>
            </w:r>
          </w:p>
          <w:p w14:paraId="172BFFFC" w14:textId="77777777" w:rsidR="008C0A68" w:rsidRDefault="008C0A68" w:rsidP="00E41AB9">
            <w:pPr>
              <w:keepLines/>
              <w:rPr>
                <w:sz w:val="20"/>
              </w:rPr>
            </w:pPr>
            <w:r>
              <w:rPr>
                <w:sz w:val="20"/>
              </w:rPr>
              <w:t>(в днях)</w:t>
            </w:r>
          </w:p>
        </w:tc>
        <w:tc>
          <w:tcPr>
            <w:tcW w:w="1613" w:type="pct"/>
            <w:tcBorders>
              <w:top w:val="single" w:sz="4" w:space="0" w:color="auto"/>
              <w:left w:val="single" w:sz="4" w:space="0" w:color="auto"/>
              <w:bottom w:val="single" w:sz="4" w:space="0" w:color="auto"/>
              <w:right w:val="single" w:sz="4" w:space="0" w:color="auto"/>
            </w:tcBorders>
            <w:vAlign w:val="center"/>
            <w:hideMark/>
          </w:tcPr>
          <w:p w14:paraId="0E082ACF" w14:textId="77777777" w:rsidR="008C0A68" w:rsidRDefault="008C0A68" w:rsidP="00E41AB9">
            <w:pPr>
              <w:keepLines/>
              <w:jc w:val="center"/>
              <w:rPr>
                <w:rFonts w:eastAsia="MS Mincho"/>
                <w:sz w:val="20"/>
              </w:rPr>
            </w:pPr>
            <w:r>
              <w:rPr>
                <w:bCs/>
                <w:sz w:val="20"/>
              </w:rPr>
              <w:t xml:space="preserve">К9 = стр. 1520 * </w:t>
            </w:r>
            <w:r>
              <w:rPr>
                <w:bCs/>
                <w:i/>
                <w:iCs/>
                <w:sz w:val="20"/>
              </w:rPr>
              <w:t xml:space="preserve">длительность периода (в днях) / </w:t>
            </w:r>
            <w:r>
              <w:rPr>
                <w:bCs/>
                <w:sz w:val="20"/>
              </w:rPr>
              <w:t>стр. 2110**</w:t>
            </w:r>
          </w:p>
        </w:tc>
        <w:tc>
          <w:tcPr>
            <w:tcW w:w="2101" w:type="pct"/>
            <w:tcBorders>
              <w:top w:val="single" w:sz="4" w:space="0" w:color="auto"/>
              <w:left w:val="single" w:sz="4" w:space="0" w:color="auto"/>
              <w:bottom w:val="single" w:sz="4" w:space="0" w:color="auto"/>
              <w:right w:val="single" w:sz="4" w:space="0" w:color="auto"/>
            </w:tcBorders>
            <w:vAlign w:val="center"/>
            <w:hideMark/>
          </w:tcPr>
          <w:p w14:paraId="6A5F0CE1" w14:textId="77777777" w:rsidR="008C0A68" w:rsidRDefault="008C0A68" w:rsidP="00E41AB9">
            <w:pPr>
              <w:keepLines/>
              <w:rPr>
                <w:rFonts w:eastAsia="Calibri"/>
                <w:sz w:val="20"/>
              </w:rPr>
            </w:pPr>
            <w:r>
              <w:rPr>
                <w:sz w:val="20"/>
              </w:rPr>
              <w:t>Показывает, за сколько дней в среднем осуществляется один цикл выполнения обязательств в отношении поставщиков, бюджета, персонала.</w:t>
            </w:r>
          </w:p>
        </w:tc>
      </w:tr>
    </w:tbl>
    <w:p w14:paraId="0E629B24" w14:textId="77777777" w:rsidR="008C0A68" w:rsidRDefault="008C0A68" w:rsidP="008C0A68">
      <w:pPr>
        <w:keepLines/>
        <w:ind w:firstLine="567"/>
        <w:jc w:val="right"/>
        <w:rPr>
          <w:rFonts w:eastAsia="MS Mincho"/>
          <w:szCs w:val="24"/>
          <w:lang w:eastAsia="en-US"/>
        </w:rPr>
      </w:pPr>
    </w:p>
    <w:p w14:paraId="77E66A40" w14:textId="77777777" w:rsidR="008C0A68" w:rsidRDefault="008C0A68" w:rsidP="008C0A68">
      <w:pPr>
        <w:keepLines/>
        <w:tabs>
          <w:tab w:val="left" w:pos="0"/>
          <w:tab w:val="left" w:pos="720"/>
        </w:tabs>
        <w:ind w:right="-58"/>
        <w:jc w:val="both"/>
        <w:rPr>
          <w:rFonts w:eastAsia="Calibri"/>
          <w:i/>
          <w:iCs/>
          <w:sz w:val="20"/>
        </w:rPr>
      </w:pPr>
      <w:r>
        <w:rPr>
          <w:i/>
          <w:szCs w:val="24"/>
        </w:rPr>
        <w:t xml:space="preserve">* </w:t>
      </w:r>
      <w:r>
        <w:rPr>
          <w:i/>
          <w:sz w:val="20"/>
        </w:rPr>
        <w:t>При наличии информации о просроченной задолженности на момент анализа</w:t>
      </w:r>
    </w:p>
    <w:p w14:paraId="5D86FF9A" w14:textId="77777777" w:rsidR="008C0A68" w:rsidRDefault="008C0A68" w:rsidP="008C0A68">
      <w:pPr>
        <w:keepLines/>
        <w:tabs>
          <w:tab w:val="left" w:pos="0"/>
          <w:tab w:val="left" w:pos="720"/>
        </w:tabs>
        <w:ind w:right="-57"/>
        <w:jc w:val="both"/>
        <w:rPr>
          <w:i/>
          <w:iCs/>
          <w:sz w:val="20"/>
        </w:rPr>
      </w:pPr>
      <w:r>
        <w:rPr>
          <w:i/>
          <w:sz w:val="20"/>
        </w:rPr>
        <w:t>**</w:t>
      </w:r>
      <w:r>
        <w:rPr>
          <w:i/>
          <w:iCs/>
          <w:sz w:val="20"/>
        </w:rPr>
        <w:t xml:space="preserve"> В случае если стр. 2110 или 2120 равна 0 (Ноль), то данному коэффициенту присваивается наихудший балл из Таблицы 2.1 соответствующий данному коэффициенту.</w:t>
      </w:r>
    </w:p>
    <w:p w14:paraId="1F089595" w14:textId="77777777" w:rsidR="008C0A68" w:rsidRDefault="008C0A68" w:rsidP="008C0A68">
      <w:pPr>
        <w:tabs>
          <w:tab w:val="left" w:pos="0"/>
          <w:tab w:val="left" w:pos="720"/>
        </w:tabs>
        <w:ind w:right="-57"/>
        <w:jc w:val="both"/>
        <w:rPr>
          <w:i/>
          <w:iCs/>
          <w:sz w:val="20"/>
        </w:rPr>
      </w:pPr>
    </w:p>
    <w:p w14:paraId="275F386B" w14:textId="77777777" w:rsidR="008C0A68" w:rsidRDefault="008C0A68" w:rsidP="008C0A68">
      <w:pPr>
        <w:keepNext/>
        <w:ind w:firstLine="567"/>
        <w:jc w:val="right"/>
        <w:rPr>
          <w:szCs w:val="24"/>
        </w:rPr>
      </w:pPr>
      <w:r>
        <w:rPr>
          <w:rFonts w:eastAsia="MS Mincho"/>
          <w:szCs w:val="24"/>
        </w:rPr>
        <w:t xml:space="preserve">Таблица 3.2. </w:t>
      </w:r>
      <w:r>
        <w:rPr>
          <w:szCs w:val="24"/>
        </w:rPr>
        <w:t xml:space="preserve">Правила расчёта коэффициентов </w:t>
      </w:r>
    </w:p>
    <w:p w14:paraId="0B0418B2" w14:textId="77777777" w:rsidR="008C0A68" w:rsidRDefault="008C0A68" w:rsidP="008C0A68">
      <w:pPr>
        <w:ind w:firstLine="567"/>
        <w:jc w:val="right"/>
        <w:rPr>
          <w:rFonts w:eastAsia="MS Mincho"/>
          <w:szCs w:val="24"/>
        </w:rPr>
      </w:pPr>
      <w:r>
        <w:rPr>
          <w:rFonts w:eastAsia="MS Mincho"/>
          <w:szCs w:val="24"/>
        </w:rPr>
        <w:t>для некредитных финансовых организаций (НФО)</w:t>
      </w:r>
    </w:p>
    <w:tbl>
      <w:tblPr>
        <w:tblpPr w:leftFromText="180" w:rightFromText="180" w:bottomFromText="16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271"/>
        <w:gridCol w:w="2770"/>
      </w:tblGrid>
      <w:tr w:rsidR="008C0A68" w14:paraId="2F1008F3" w14:textId="77777777" w:rsidTr="00E41AB9">
        <w:trPr>
          <w:trHeight w:val="424"/>
          <w:tblHeader/>
        </w:trPr>
        <w:tc>
          <w:tcPr>
            <w:tcW w:w="242" w:type="pct"/>
            <w:tcBorders>
              <w:top w:val="single" w:sz="4" w:space="0" w:color="auto"/>
              <w:left w:val="single" w:sz="4" w:space="0" w:color="auto"/>
              <w:bottom w:val="single" w:sz="4" w:space="0" w:color="auto"/>
              <w:right w:val="single" w:sz="4" w:space="0" w:color="auto"/>
            </w:tcBorders>
            <w:vAlign w:val="center"/>
            <w:hideMark/>
          </w:tcPr>
          <w:p w14:paraId="37342481" w14:textId="77777777" w:rsidR="008C0A68" w:rsidRDefault="008C0A68" w:rsidP="00E41AB9">
            <w:pPr>
              <w:jc w:val="center"/>
              <w:rPr>
                <w:rFonts w:eastAsia="MS Mincho"/>
                <w:bCs/>
                <w:sz w:val="20"/>
              </w:rPr>
            </w:pPr>
            <w:r>
              <w:rPr>
                <w:rFonts w:eastAsia="MS Mincho"/>
                <w:bCs/>
                <w:sz w:val="20"/>
              </w:rPr>
              <w:t>№</w:t>
            </w:r>
          </w:p>
        </w:tc>
        <w:tc>
          <w:tcPr>
            <w:tcW w:w="836" w:type="pct"/>
            <w:tcBorders>
              <w:top w:val="single" w:sz="4" w:space="0" w:color="auto"/>
              <w:left w:val="single" w:sz="4" w:space="0" w:color="auto"/>
              <w:bottom w:val="single" w:sz="4" w:space="0" w:color="auto"/>
              <w:right w:val="single" w:sz="4" w:space="0" w:color="auto"/>
            </w:tcBorders>
            <w:vAlign w:val="center"/>
            <w:hideMark/>
          </w:tcPr>
          <w:p w14:paraId="66693969" w14:textId="77777777" w:rsidR="008C0A68" w:rsidRDefault="008C0A68" w:rsidP="00E41AB9">
            <w:pPr>
              <w:jc w:val="center"/>
              <w:rPr>
                <w:rFonts w:eastAsia="MS Mincho"/>
                <w:bCs/>
                <w:sz w:val="20"/>
              </w:rPr>
            </w:pPr>
            <w:r>
              <w:rPr>
                <w:rFonts w:eastAsia="MS Mincho"/>
                <w:bCs/>
                <w:sz w:val="20"/>
              </w:rPr>
              <w:t>Наименование</w:t>
            </w:r>
          </w:p>
          <w:p w14:paraId="6DCC5519" w14:textId="77777777" w:rsidR="008C0A68" w:rsidRDefault="008C0A68" w:rsidP="00E41AB9">
            <w:pPr>
              <w:jc w:val="center"/>
              <w:rPr>
                <w:rFonts w:eastAsia="MS Mincho"/>
                <w:bCs/>
                <w:sz w:val="20"/>
              </w:rPr>
            </w:pPr>
            <w:r>
              <w:rPr>
                <w:rFonts w:eastAsia="MS Mincho"/>
                <w:bCs/>
                <w:sz w:val="20"/>
              </w:rPr>
              <w:t>коэффициента</w:t>
            </w:r>
          </w:p>
        </w:tc>
        <w:tc>
          <w:tcPr>
            <w:tcW w:w="2376" w:type="pct"/>
            <w:tcBorders>
              <w:top w:val="single" w:sz="4" w:space="0" w:color="auto"/>
              <w:left w:val="single" w:sz="4" w:space="0" w:color="auto"/>
              <w:bottom w:val="single" w:sz="4" w:space="0" w:color="auto"/>
              <w:right w:val="single" w:sz="4" w:space="0" w:color="auto"/>
            </w:tcBorders>
            <w:vAlign w:val="center"/>
            <w:hideMark/>
          </w:tcPr>
          <w:p w14:paraId="52E985C2" w14:textId="77777777" w:rsidR="008C0A68" w:rsidRDefault="008C0A68" w:rsidP="00E41AB9">
            <w:pPr>
              <w:jc w:val="center"/>
              <w:rPr>
                <w:rFonts w:eastAsia="Calibri"/>
                <w:bCs/>
                <w:spacing w:val="-3"/>
                <w:sz w:val="20"/>
              </w:rPr>
            </w:pPr>
            <w:r>
              <w:rPr>
                <w:bCs/>
                <w:spacing w:val="-3"/>
                <w:sz w:val="20"/>
              </w:rPr>
              <w:t>Формула расчета</w:t>
            </w:r>
          </w:p>
          <w:p w14:paraId="63BD500C" w14:textId="77777777" w:rsidR="008C0A68" w:rsidRDefault="008C0A68" w:rsidP="00E41AB9">
            <w:pPr>
              <w:jc w:val="center"/>
              <w:rPr>
                <w:bCs/>
                <w:spacing w:val="-3"/>
                <w:sz w:val="20"/>
              </w:rPr>
            </w:pPr>
            <w:r>
              <w:rPr>
                <w:bCs/>
                <w:spacing w:val="-3"/>
                <w:sz w:val="20"/>
              </w:rPr>
              <w:t xml:space="preserve">(с использованием данных строк </w:t>
            </w:r>
          </w:p>
          <w:p w14:paraId="70B4BDC3" w14:textId="77777777" w:rsidR="008C0A68" w:rsidRDefault="008C0A68" w:rsidP="00E41AB9">
            <w:pPr>
              <w:jc w:val="center"/>
              <w:rPr>
                <w:bCs/>
                <w:spacing w:val="-3"/>
                <w:sz w:val="20"/>
              </w:rPr>
            </w:pPr>
            <w:r>
              <w:rPr>
                <w:bCs/>
                <w:spacing w:val="-3"/>
                <w:sz w:val="20"/>
              </w:rPr>
              <w:t>используемой отчетности)</w:t>
            </w:r>
          </w:p>
        </w:tc>
        <w:tc>
          <w:tcPr>
            <w:tcW w:w="1546" w:type="pct"/>
            <w:tcBorders>
              <w:top w:val="single" w:sz="4" w:space="0" w:color="auto"/>
              <w:left w:val="single" w:sz="4" w:space="0" w:color="auto"/>
              <w:bottom w:val="single" w:sz="4" w:space="0" w:color="auto"/>
              <w:right w:val="single" w:sz="4" w:space="0" w:color="auto"/>
            </w:tcBorders>
            <w:vAlign w:val="center"/>
            <w:hideMark/>
          </w:tcPr>
          <w:p w14:paraId="60E0E723" w14:textId="77777777" w:rsidR="008C0A68" w:rsidRDefault="008C0A68" w:rsidP="00E41AB9">
            <w:pPr>
              <w:jc w:val="center"/>
              <w:rPr>
                <w:bCs/>
                <w:spacing w:val="-3"/>
                <w:sz w:val="20"/>
              </w:rPr>
            </w:pPr>
            <w:r>
              <w:rPr>
                <w:sz w:val="20"/>
              </w:rPr>
              <w:t>Вид отчетности</w:t>
            </w:r>
          </w:p>
        </w:tc>
      </w:tr>
      <w:tr w:rsidR="008C0A68" w14:paraId="65E2CC3B" w14:textId="77777777" w:rsidTr="00E41AB9">
        <w:trPr>
          <w:trHeight w:val="236"/>
          <w:tblHeader/>
        </w:trPr>
        <w:tc>
          <w:tcPr>
            <w:tcW w:w="242" w:type="pct"/>
            <w:tcBorders>
              <w:top w:val="single" w:sz="4" w:space="0" w:color="auto"/>
              <w:left w:val="single" w:sz="4" w:space="0" w:color="auto"/>
              <w:bottom w:val="single" w:sz="4" w:space="0" w:color="auto"/>
              <w:right w:val="single" w:sz="4" w:space="0" w:color="auto"/>
            </w:tcBorders>
            <w:vAlign w:val="center"/>
            <w:hideMark/>
          </w:tcPr>
          <w:p w14:paraId="153426F3" w14:textId="77777777" w:rsidR="008C0A68" w:rsidRDefault="008C0A68" w:rsidP="00E41AB9">
            <w:pPr>
              <w:jc w:val="center"/>
              <w:rPr>
                <w:rFonts w:eastAsia="MS Mincho"/>
                <w:bCs/>
                <w:i/>
                <w:iCs/>
                <w:sz w:val="20"/>
              </w:rPr>
            </w:pPr>
            <w:r>
              <w:rPr>
                <w:rFonts w:eastAsia="MS Mincho"/>
                <w:bCs/>
                <w:i/>
                <w:iCs/>
                <w:sz w:val="20"/>
              </w:rPr>
              <w:t>К1</w:t>
            </w:r>
          </w:p>
        </w:tc>
        <w:tc>
          <w:tcPr>
            <w:tcW w:w="836" w:type="pct"/>
            <w:tcBorders>
              <w:top w:val="single" w:sz="4" w:space="0" w:color="auto"/>
              <w:left w:val="single" w:sz="4" w:space="0" w:color="auto"/>
              <w:bottom w:val="single" w:sz="4" w:space="0" w:color="auto"/>
              <w:right w:val="single" w:sz="4" w:space="0" w:color="auto"/>
            </w:tcBorders>
            <w:vAlign w:val="center"/>
            <w:hideMark/>
          </w:tcPr>
          <w:p w14:paraId="0CC6F57F" w14:textId="77777777" w:rsidR="008C0A68" w:rsidRDefault="008C0A68" w:rsidP="00E41AB9">
            <w:pPr>
              <w:rPr>
                <w:rFonts w:eastAsia="Calibri"/>
                <w:sz w:val="20"/>
              </w:rPr>
            </w:pPr>
            <w:r>
              <w:rPr>
                <w:sz w:val="20"/>
              </w:rPr>
              <w:t>Коэффициент финансовой независимости</w:t>
            </w:r>
          </w:p>
        </w:tc>
        <w:tc>
          <w:tcPr>
            <w:tcW w:w="2376" w:type="pct"/>
            <w:tcBorders>
              <w:top w:val="single" w:sz="4" w:space="0" w:color="auto"/>
              <w:left w:val="single" w:sz="4" w:space="0" w:color="auto"/>
              <w:bottom w:val="single" w:sz="4" w:space="0" w:color="auto"/>
              <w:right w:val="single" w:sz="4" w:space="0" w:color="auto"/>
            </w:tcBorders>
            <w:vAlign w:val="center"/>
            <w:hideMark/>
          </w:tcPr>
          <w:p w14:paraId="47C4CBF9" w14:textId="77777777" w:rsidR="008C0A68" w:rsidRDefault="008C0A68" w:rsidP="00E41AB9">
            <w:pPr>
              <w:jc w:val="both"/>
              <w:rPr>
                <w:bCs/>
                <w:sz w:val="20"/>
              </w:rPr>
            </w:pPr>
            <w:r>
              <w:rPr>
                <w:bCs/>
                <w:sz w:val="20"/>
              </w:rPr>
              <w:t>К1 = (</w:t>
            </w:r>
            <w:r>
              <w:rPr>
                <w:sz w:val="20"/>
              </w:rPr>
              <w:t xml:space="preserve">стр. 52) «Итого капитала» </w:t>
            </w:r>
            <w:r>
              <w:rPr>
                <w:bCs/>
                <w:sz w:val="20"/>
              </w:rPr>
              <w:t xml:space="preserve">/ </w:t>
            </w:r>
          </w:p>
          <w:p w14:paraId="63D1EA31" w14:textId="77777777" w:rsidR="008C0A68" w:rsidRDefault="008C0A68" w:rsidP="00E41AB9">
            <w:pPr>
              <w:jc w:val="both"/>
              <w:rPr>
                <w:rFonts w:eastAsia="MS Mincho"/>
                <w:sz w:val="20"/>
              </w:rPr>
            </w:pPr>
            <w:r>
              <w:rPr>
                <w:sz w:val="20"/>
              </w:rPr>
              <w:t>(стр. 53) «Итого капитала и обязательств»</w:t>
            </w:r>
          </w:p>
        </w:tc>
        <w:tc>
          <w:tcPr>
            <w:tcW w:w="1546" w:type="pct"/>
            <w:tcBorders>
              <w:top w:val="single" w:sz="4" w:space="0" w:color="auto"/>
              <w:left w:val="single" w:sz="4" w:space="0" w:color="auto"/>
              <w:bottom w:val="single" w:sz="4" w:space="0" w:color="auto"/>
              <w:right w:val="single" w:sz="4" w:space="0" w:color="auto"/>
            </w:tcBorders>
            <w:vAlign w:val="center"/>
            <w:hideMark/>
          </w:tcPr>
          <w:p w14:paraId="071258BC" w14:textId="77777777" w:rsidR="008C0A68" w:rsidRDefault="008C0A68" w:rsidP="00E41AB9">
            <w:pPr>
              <w:rPr>
                <w:rFonts w:eastAsia="Calibri"/>
                <w:bCs/>
                <w:sz w:val="20"/>
              </w:rPr>
            </w:pPr>
            <w:r>
              <w:rPr>
                <w:bCs/>
                <w:sz w:val="20"/>
              </w:rPr>
              <w:t>1. Бухгалтерский баланс НФО на отчётную дату</w:t>
            </w:r>
          </w:p>
        </w:tc>
      </w:tr>
      <w:tr w:rsidR="008C0A68" w14:paraId="45AD62CC" w14:textId="77777777" w:rsidTr="00E41AB9">
        <w:trPr>
          <w:trHeight w:val="424"/>
          <w:tblHeader/>
        </w:trPr>
        <w:tc>
          <w:tcPr>
            <w:tcW w:w="242" w:type="pct"/>
            <w:tcBorders>
              <w:top w:val="single" w:sz="4" w:space="0" w:color="auto"/>
              <w:left w:val="single" w:sz="4" w:space="0" w:color="auto"/>
              <w:bottom w:val="single" w:sz="4" w:space="0" w:color="auto"/>
              <w:right w:val="single" w:sz="4" w:space="0" w:color="auto"/>
            </w:tcBorders>
            <w:vAlign w:val="center"/>
            <w:hideMark/>
          </w:tcPr>
          <w:p w14:paraId="48C1EC84" w14:textId="77777777" w:rsidR="008C0A68" w:rsidRDefault="008C0A68" w:rsidP="00E41AB9">
            <w:pPr>
              <w:jc w:val="center"/>
              <w:rPr>
                <w:rFonts w:eastAsia="MS Mincho"/>
                <w:bCs/>
                <w:i/>
                <w:iCs/>
                <w:sz w:val="20"/>
              </w:rPr>
            </w:pPr>
            <w:r>
              <w:rPr>
                <w:rFonts w:eastAsia="MS Mincho"/>
                <w:bCs/>
                <w:i/>
                <w:iCs/>
                <w:sz w:val="20"/>
              </w:rPr>
              <w:t>К2</w:t>
            </w:r>
          </w:p>
        </w:tc>
        <w:tc>
          <w:tcPr>
            <w:tcW w:w="836" w:type="pct"/>
            <w:tcBorders>
              <w:top w:val="single" w:sz="4" w:space="0" w:color="auto"/>
              <w:left w:val="single" w:sz="4" w:space="0" w:color="auto"/>
              <w:bottom w:val="single" w:sz="4" w:space="0" w:color="auto"/>
              <w:right w:val="single" w:sz="4" w:space="0" w:color="auto"/>
            </w:tcBorders>
            <w:vAlign w:val="center"/>
            <w:hideMark/>
          </w:tcPr>
          <w:p w14:paraId="529B722C" w14:textId="77777777" w:rsidR="008C0A68" w:rsidRDefault="008C0A68" w:rsidP="00E41AB9">
            <w:pPr>
              <w:rPr>
                <w:rFonts w:eastAsia="Calibri"/>
                <w:sz w:val="20"/>
              </w:rPr>
            </w:pPr>
            <w:r>
              <w:rPr>
                <w:sz w:val="20"/>
              </w:rPr>
              <w:t>Коэффициент достаточности собственных средств</w:t>
            </w:r>
          </w:p>
        </w:tc>
        <w:tc>
          <w:tcPr>
            <w:tcW w:w="2376" w:type="pct"/>
            <w:tcBorders>
              <w:top w:val="single" w:sz="4" w:space="0" w:color="auto"/>
              <w:left w:val="single" w:sz="4" w:space="0" w:color="auto"/>
              <w:bottom w:val="single" w:sz="4" w:space="0" w:color="auto"/>
              <w:right w:val="single" w:sz="4" w:space="0" w:color="auto"/>
            </w:tcBorders>
            <w:vAlign w:val="center"/>
            <w:hideMark/>
          </w:tcPr>
          <w:p w14:paraId="3077E33E" w14:textId="77777777" w:rsidR="008C0A68" w:rsidRDefault="008C0A68" w:rsidP="00E41AB9">
            <w:pPr>
              <w:rPr>
                <w:bCs/>
                <w:sz w:val="20"/>
              </w:rPr>
            </w:pPr>
            <w:r>
              <w:rPr>
                <w:bCs/>
                <w:sz w:val="20"/>
              </w:rPr>
              <w:t xml:space="preserve">К2 = стр. «Расчет размера собственных средств профессионального участника рынка ценных бумаг - </w:t>
            </w:r>
            <w:r>
              <w:rPr>
                <w:sz w:val="20"/>
              </w:rPr>
              <w:t xml:space="preserve">Размер собственных средств» / </w:t>
            </w:r>
          </w:p>
          <w:p w14:paraId="02559286" w14:textId="77777777" w:rsidR="008C0A68" w:rsidRDefault="008C0A68" w:rsidP="00E41AB9">
            <w:pPr>
              <w:rPr>
                <w:bCs/>
                <w:sz w:val="20"/>
              </w:rPr>
            </w:pPr>
            <w:r>
              <w:rPr>
                <w:bCs/>
                <w:sz w:val="20"/>
              </w:rPr>
              <w:t xml:space="preserve">стр. «Расчет размера собственных средств профессионального участника рынка ценных бумаг - </w:t>
            </w:r>
            <w:r>
              <w:rPr>
                <w:sz w:val="20"/>
              </w:rPr>
              <w:t>Суммарная стоимость пассивов»</w:t>
            </w:r>
          </w:p>
        </w:tc>
        <w:tc>
          <w:tcPr>
            <w:tcW w:w="1546" w:type="pct"/>
            <w:tcBorders>
              <w:top w:val="single" w:sz="4" w:space="0" w:color="auto"/>
              <w:left w:val="single" w:sz="4" w:space="0" w:color="auto"/>
              <w:bottom w:val="single" w:sz="4" w:space="0" w:color="auto"/>
              <w:right w:val="single" w:sz="4" w:space="0" w:color="auto"/>
            </w:tcBorders>
            <w:vAlign w:val="center"/>
            <w:hideMark/>
          </w:tcPr>
          <w:p w14:paraId="27E2DFB8" w14:textId="77777777" w:rsidR="008C0A68" w:rsidRDefault="008C0A68" w:rsidP="00E41AB9">
            <w:pPr>
              <w:rPr>
                <w:bCs/>
                <w:sz w:val="20"/>
              </w:rPr>
            </w:pPr>
            <w:r>
              <w:rPr>
                <w:bCs/>
                <w:sz w:val="20"/>
              </w:rPr>
              <w:t>1. Расчет размера собственных средств профессионального участника рынка ценных бумаг</w:t>
            </w:r>
          </w:p>
        </w:tc>
      </w:tr>
      <w:tr w:rsidR="008C0A68" w14:paraId="7F2301C9" w14:textId="77777777" w:rsidTr="00E41AB9">
        <w:trPr>
          <w:trHeight w:val="424"/>
          <w:tblHeader/>
        </w:trPr>
        <w:tc>
          <w:tcPr>
            <w:tcW w:w="242" w:type="pct"/>
            <w:tcBorders>
              <w:top w:val="single" w:sz="4" w:space="0" w:color="auto"/>
              <w:left w:val="single" w:sz="4" w:space="0" w:color="auto"/>
              <w:bottom w:val="single" w:sz="4" w:space="0" w:color="auto"/>
              <w:right w:val="single" w:sz="4" w:space="0" w:color="auto"/>
            </w:tcBorders>
            <w:vAlign w:val="center"/>
            <w:hideMark/>
          </w:tcPr>
          <w:p w14:paraId="27B40B7F" w14:textId="77777777" w:rsidR="008C0A68" w:rsidRDefault="008C0A68" w:rsidP="00E41AB9">
            <w:pPr>
              <w:rPr>
                <w:i/>
                <w:sz w:val="20"/>
              </w:rPr>
            </w:pPr>
            <w:r>
              <w:rPr>
                <w:i/>
                <w:sz w:val="20"/>
              </w:rPr>
              <w:t>К3</w:t>
            </w:r>
          </w:p>
        </w:tc>
        <w:tc>
          <w:tcPr>
            <w:tcW w:w="836" w:type="pct"/>
            <w:tcBorders>
              <w:top w:val="single" w:sz="4" w:space="0" w:color="auto"/>
              <w:left w:val="single" w:sz="4" w:space="0" w:color="auto"/>
              <w:bottom w:val="single" w:sz="4" w:space="0" w:color="auto"/>
              <w:right w:val="single" w:sz="4" w:space="0" w:color="auto"/>
            </w:tcBorders>
            <w:vAlign w:val="center"/>
            <w:hideMark/>
          </w:tcPr>
          <w:p w14:paraId="4129C361" w14:textId="77777777" w:rsidR="008C0A68" w:rsidRDefault="008C0A68" w:rsidP="00E41AB9">
            <w:pPr>
              <w:rPr>
                <w:sz w:val="20"/>
              </w:rPr>
            </w:pPr>
            <w:r>
              <w:rPr>
                <w:sz w:val="20"/>
              </w:rPr>
              <w:t>Коэффициент качества активов</w:t>
            </w:r>
          </w:p>
        </w:tc>
        <w:tc>
          <w:tcPr>
            <w:tcW w:w="2376" w:type="pct"/>
            <w:tcBorders>
              <w:top w:val="single" w:sz="4" w:space="0" w:color="auto"/>
              <w:left w:val="single" w:sz="4" w:space="0" w:color="auto"/>
              <w:bottom w:val="single" w:sz="4" w:space="0" w:color="auto"/>
              <w:right w:val="single" w:sz="4" w:space="0" w:color="auto"/>
            </w:tcBorders>
            <w:vAlign w:val="center"/>
            <w:hideMark/>
          </w:tcPr>
          <w:p w14:paraId="7A393B93" w14:textId="77777777" w:rsidR="008C0A68" w:rsidRDefault="008C0A68" w:rsidP="00E41AB9">
            <w:pPr>
              <w:rPr>
                <w:bCs/>
                <w:spacing w:val="-3"/>
                <w:sz w:val="20"/>
              </w:rPr>
            </w:pPr>
            <w:r>
              <w:rPr>
                <w:bCs/>
                <w:sz w:val="20"/>
              </w:rPr>
              <w:t>К3 = стр. «Расчет размера собственных средств профессионального участника рынка ценных бумаг - Суммарная стоимость активов» / (стр.22) «Итого активов»</w:t>
            </w:r>
          </w:p>
        </w:tc>
        <w:tc>
          <w:tcPr>
            <w:tcW w:w="1546" w:type="pct"/>
            <w:tcBorders>
              <w:top w:val="single" w:sz="4" w:space="0" w:color="auto"/>
              <w:left w:val="single" w:sz="4" w:space="0" w:color="auto"/>
              <w:bottom w:val="single" w:sz="4" w:space="0" w:color="auto"/>
              <w:right w:val="single" w:sz="4" w:space="0" w:color="auto"/>
            </w:tcBorders>
            <w:hideMark/>
          </w:tcPr>
          <w:p w14:paraId="00AF605B" w14:textId="77777777" w:rsidR="008C0A68" w:rsidRDefault="008C0A68" w:rsidP="00E41AB9">
            <w:pPr>
              <w:rPr>
                <w:bCs/>
                <w:sz w:val="20"/>
              </w:rPr>
            </w:pPr>
            <w:r>
              <w:rPr>
                <w:bCs/>
                <w:sz w:val="20"/>
              </w:rPr>
              <w:t>1. Расчет размера собственных средств профессионального участника рынка ценных бумаг</w:t>
            </w:r>
          </w:p>
          <w:p w14:paraId="6310308A" w14:textId="77777777" w:rsidR="008C0A68" w:rsidRDefault="008C0A68" w:rsidP="00E41AB9">
            <w:pPr>
              <w:rPr>
                <w:bCs/>
                <w:sz w:val="20"/>
              </w:rPr>
            </w:pPr>
            <w:r>
              <w:rPr>
                <w:bCs/>
                <w:sz w:val="20"/>
              </w:rPr>
              <w:t>2. Бухгалтерский баланс НФО на отчётную дату</w:t>
            </w:r>
          </w:p>
        </w:tc>
      </w:tr>
      <w:tr w:rsidR="008C0A68" w14:paraId="115EDF6D" w14:textId="77777777" w:rsidTr="00E41AB9">
        <w:trPr>
          <w:trHeight w:val="269"/>
          <w:tblHeader/>
        </w:trPr>
        <w:tc>
          <w:tcPr>
            <w:tcW w:w="242" w:type="pct"/>
            <w:tcBorders>
              <w:top w:val="single" w:sz="4" w:space="0" w:color="auto"/>
              <w:left w:val="single" w:sz="4" w:space="0" w:color="auto"/>
              <w:bottom w:val="single" w:sz="4" w:space="0" w:color="auto"/>
              <w:right w:val="single" w:sz="4" w:space="0" w:color="auto"/>
            </w:tcBorders>
            <w:vAlign w:val="center"/>
            <w:hideMark/>
          </w:tcPr>
          <w:p w14:paraId="7D0877A6" w14:textId="77777777" w:rsidR="008C0A68" w:rsidRDefault="008C0A68" w:rsidP="00E41AB9">
            <w:pPr>
              <w:jc w:val="center"/>
              <w:rPr>
                <w:rFonts w:eastAsia="MS Mincho"/>
                <w:bCs/>
                <w:i/>
                <w:iCs/>
                <w:sz w:val="20"/>
              </w:rPr>
            </w:pPr>
            <w:r>
              <w:rPr>
                <w:rFonts w:eastAsia="MS Mincho"/>
                <w:bCs/>
                <w:i/>
                <w:iCs/>
                <w:sz w:val="20"/>
              </w:rPr>
              <w:t>К4</w:t>
            </w:r>
          </w:p>
        </w:tc>
        <w:tc>
          <w:tcPr>
            <w:tcW w:w="836" w:type="pct"/>
            <w:tcBorders>
              <w:top w:val="single" w:sz="4" w:space="0" w:color="auto"/>
              <w:left w:val="single" w:sz="4" w:space="0" w:color="auto"/>
              <w:bottom w:val="single" w:sz="4" w:space="0" w:color="auto"/>
              <w:right w:val="single" w:sz="4" w:space="0" w:color="auto"/>
            </w:tcBorders>
            <w:vAlign w:val="center"/>
            <w:hideMark/>
          </w:tcPr>
          <w:p w14:paraId="48E3106B" w14:textId="77777777" w:rsidR="008C0A68" w:rsidRDefault="008C0A68" w:rsidP="00E41AB9">
            <w:pPr>
              <w:rPr>
                <w:rFonts w:eastAsia="Calibri"/>
                <w:sz w:val="20"/>
              </w:rPr>
            </w:pPr>
            <w:r>
              <w:rPr>
                <w:sz w:val="20"/>
              </w:rPr>
              <w:t>Рентабельность активов по чистой прибыли (ROA)</w:t>
            </w:r>
          </w:p>
        </w:tc>
        <w:tc>
          <w:tcPr>
            <w:tcW w:w="2376" w:type="pct"/>
            <w:tcBorders>
              <w:top w:val="single" w:sz="4" w:space="0" w:color="auto"/>
              <w:left w:val="single" w:sz="4" w:space="0" w:color="auto"/>
              <w:bottom w:val="single" w:sz="4" w:space="0" w:color="auto"/>
              <w:right w:val="single" w:sz="4" w:space="0" w:color="auto"/>
            </w:tcBorders>
            <w:vAlign w:val="center"/>
            <w:hideMark/>
          </w:tcPr>
          <w:p w14:paraId="49F9AF1D" w14:textId="77777777" w:rsidR="008C0A68" w:rsidRDefault="008C0A68" w:rsidP="00E41AB9">
            <w:pPr>
              <w:rPr>
                <w:bCs/>
                <w:sz w:val="20"/>
              </w:rPr>
            </w:pPr>
            <w:r>
              <w:rPr>
                <w:bCs/>
                <w:i/>
                <w:sz w:val="20"/>
              </w:rPr>
              <w:t>К4</w:t>
            </w:r>
            <w:r>
              <w:rPr>
                <w:bCs/>
                <w:sz w:val="20"/>
              </w:rPr>
              <w:t xml:space="preserve"> = (</w:t>
            </w:r>
            <w:r>
              <w:rPr>
                <w:sz w:val="20"/>
              </w:rPr>
              <w:t>(с</w:t>
            </w:r>
            <w:r>
              <w:rPr>
                <w:bCs/>
                <w:sz w:val="20"/>
              </w:rPr>
              <w:t>тр. 29) «Прибыль (убыток) после налогообложения / количество кварталов в рассматриваемом периоде * 4 / (средняя сумма активов (стр. 22) «Итого активов» начало и на конец рассматриваемого периода)</w:t>
            </w:r>
          </w:p>
        </w:tc>
        <w:tc>
          <w:tcPr>
            <w:tcW w:w="1546" w:type="pct"/>
            <w:tcBorders>
              <w:top w:val="single" w:sz="4" w:space="0" w:color="auto"/>
              <w:left w:val="single" w:sz="4" w:space="0" w:color="auto"/>
              <w:bottom w:val="single" w:sz="4" w:space="0" w:color="auto"/>
              <w:right w:val="single" w:sz="4" w:space="0" w:color="auto"/>
            </w:tcBorders>
            <w:hideMark/>
          </w:tcPr>
          <w:p w14:paraId="0ABFC800" w14:textId="77777777" w:rsidR="008C0A68" w:rsidRDefault="008C0A68" w:rsidP="00E41AB9">
            <w:pPr>
              <w:rPr>
                <w:sz w:val="20"/>
              </w:rPr>
            </w:pPr>
            <w:r>
              <w:rPr>
                <w:sz w:val="20"/>
              </w:rPr>
              <w:t>1. Отчёт о финансовых результатах НФО за текущий календарный год</w:t>
            </w:r>
          </w:p>
          <w:p w14:paraId="7A686104" w14:textId="77777777" w:rsidR="008C0A68" w:rsidRDefault="008C0A68" w:rsidP="00E41AB9">
            <w:pPr>
              <w:rPr>
                <w:bCs/>
                <w:i/>
                <w:sz w:val="20"/>
              </w:rPr>
            </w:pPr>
            <w:r>
              <w:rPr>
                <w:sz w:val="20"/>
              </w:rPr>
              <w:t>2. Бухгалтерский баланс НФО на отчетную дату</w:t>
            </w:r>
          </w:p>
        </w:tc>
      </w:tr>
      <w:tr w:rsidR="008C0A68" w14:paraId="226157EE" w14:textId="77777777" w:rsidTr="00E41AB9">
        <w:trPr>
          <w:trHeight w:val="269"/>
          <w:tblHeader/>
        </w:trPr>
        <w:tc>
          <w:tcPr>
            <w:tcW w:w="242" w:type="pct"/>
            <w:tcBorders>
              <w:top w:val="single" w:sz="4" w:space="0" w:color="auto"/>
              <w:left w:val="single" w:sz="4" w:space="0" w:color="auto"/>
              <w:bottom w:val="single" w:sz="4" w:space="0" w:color="auto"/>
              <w:right w:val="single" w:sz="4" w:space="0" w:color="auto"/>
            </w:tcBorders>
            <w:vAlign w:val="center"/>
            <w:hideMark/>
          </w:tcPr>
          <w:p w14:paraId="7FAE0D92" w14:textId="77777777" w:rsidR="008C0A68" w:rsidRDefault="008C0A68" w:rsidP="00E41AB9">
            <w:pPr>
              <w:jc w:val="center"/>
              <w:rPr>
                <w:rFonts w:eastAsia="MS Mincho"/>
                <w:bCs/>
                <w:i/>
                <w:iCs/>
                <w:sz w:val="20"/>
              </w:rPr>
            </w:pPr>
            <w:r>
              <w:rPr>
                <w:rFonts w:eastAsia="MS Mincho"/>
                <w:bCs/>
                <w:i/>
                <w:iCs/>
                <w:sz w:val="20"/>
              </w:rPr>
              <w:t>К5</w:t>
            </w:r>
          </w:p>
        </w:tc>
        <w:tc>
          <w:tcPr>
            <w:tcW w:w="836" w:type="pct"/>
            <w:tcBorders>
              <w:top w:val="single" w:sz="4" w:space="0" w:color="auto"/>
              <w:left w:val="single" w:sz="4" w:space="0" w:color="auto"/>
              <w:bottom w:val="single" w:sz="4" w:space="0" w:color="auto"/>
              <w:right w:val="single" w:sz="4" w:space="0" w:color="auto"/>
            </w:tcBorders>
            <w:vAlign w:val="center"/>
            <w:hideMark/>
          </w:tcPr>
          <w:p w14:paraId="534B83FD" w14:textId="77777777" w:rsidR="008C0A68" w:rsidRDefault="008C0A68" w:rsidP="00E41AB9">
            <w:pPr>
              <w:rPr>
                <w:rFonts w:eastAsia="Calibri"/>
                <w:sz w:val="20"/>
              </w:rPr>
            </w:pPr>
            <w:r>
              <w:rPr>
                <w:sz w:val="20"/>
              </w:rPr>
              <w:t>Рентабельность капитала по чистой прибыли (ROE)</w:t>
            </w:r>
          </w:p>
        </w:tc>
        <w:tc>
          <w:tcPr>
            <w:tcW w:w="2376" w:type="pct"/>
            <w:tcBorders>
              <w:top w:val="single" w:sz="4" w:space="0" w:color="auto"/>
              <w:left w:val="single" w:sz="4" w:space="0" w:color="auto"/>
              <w:bottom w:val="single" w:sz="4" w:space="0" w:color="auto"/>
              <w:right w:val="single" w:sz="4" w:space="0" w:color="auto"/>
            </w:tcBorders>
            <w:vAlign w:val="center"/>
            <w:hideMark/>
          </w:tcPr>
          <w:p w14:paraId="131354C2" w14:textId="77777777" w:rsidR="008C0A68" w:rsidRDefault="008C0A68" w:rsidP="00E41AB9">
            <w:pPr>
              <w:rPr>
                <w:bCs/>
                <w:sz w:val="20"/>
              </w:rPr>
            </w:pPr>
            <w:r>
              <w:rPr>
                <w:bCs/>
                <w:i/>
                <w:sz w:val="20"/>
              </w:rPr>
              <w:t>К5</w:t>
            </w:r>
            <w:r>
              <w:rPr>
                <w:bCs/>
                <w:sz w:val="20"/>
              </w:rPr>
              <w:t xml:space="preserve"> = (</w:t>
            </w:r>
            <w:r>
              <w:rPr>
                <w:sz w:val="20"/>
              </w:rPr>
              <w:t>(с</w:t>
            </w:r>
            <w:r>
              <w:rPr>
                <w:bCs/>
                <w:sz w:val="20"/>
              </w:rPr>
              <w:t xml:space="preserve">тр. 29) </w:t>
            </w:r>
            <w:r>
              <w:rPr>
                <w:sz w:val="20"/>
              </w:rPr>
              <w:t>«</w:t>
            </w:r>
            <w:r>
              <w:rPr>
                <w:bCs/>
                <w:sz w:val="20"/>
              </w:rPr>
              <w:t xml:space="preserve">Прибыль (убыток) после налогообложения» / количество кварталов в рассматриваемом периоде * 4) / (средняя сумма по стр. «Расчет размера собственных средств профессионального участника рынка ценных бумаг - </w:t>
            </w:r>
            <w:r>
              <w:rPr>
                <w:sz w:val="20"/>
              </w:rPr>
              <w:t xml:space="preserve">Размер собственных средств» </w:t>
            </w:r>
            <w:r>
              <w:rPr>
                <w:bCs/>
                <w:sz w:val="20"/>
              </w:rPr>
              <w:t>на начало и на конец рассматриваемого периода)</w:t>
            </w:r>
          </w:p>
        </w:tc>
        <w:tc>
          <w:tcPr>
            <w:tcW w:w="1546" w:type="pct"/>
            <w:tcBorders>
              <w:top w:val="single" w:sz="4" w:space="0" w:color="auto"/>
              <w:left w:val="single" w:sz="4" w:space="0" w:color="auto"/>
              <w:bottom w:val="single" w:sz="4" w:space="0" w:color="auto"/>
              <w:right w:val="single" w:sz="4" w:space="0" w:color="auto"/>
            </w:tcBorders>
            <w:hideMark/>
          </w:tcPr>
          <w:p w14:paraId="67A753C4" w14:textId="77777777" w:rsidR="008C0A68" w:rsidRDefault="008C0A68" w:rsidP="00E41AB9">
            <w:pPr>
              <w:rPr>
                <w:sz w:val="20"/>
              </w:rPr>
            </w:pPr>
            <w:r>
              <w:rPr>
                <w:sz w:val="20"/>
              </w:rPr>
              <w:t>1. Отчёт о финансовых результатах НФО за текущий календарный год</w:t>
            </w:r>
          </w:p>
          <w:p w14:paraId="19457660" w14:textId="77777777" w:rsidR="008C0A68" w:rsidRDefault="008C0A68" w:rsidP="00E41AB9">
            <w:pPr>
              <w:jc w:val="both"/>
              <w:rPr>
                <w:sz w:val="20"/>
              </w:rPr>
            </w:pPr>
            <w:r>
              <w:rPr>
                <w:sz w:val="20"/>
              </w:rPr>
              <w:t>2. Бухгалтерский баланс НФО на отчетную дату</w:t>
            </w:r>
          </w:p>
          <w:p w14:paraId="18DAF122" w14:textId="77777777" w:rsidR="008C0A68" w:rsidRDefault="008C0A68" w:rsidP="00E41AB9">
            <w:pPr>
              <w:rPr>
                <w:bCs/>
                <w:i/>
                <w:sz w:val="20"/>
              </w:rPr>
            </w:pPr>
            <w:r>
              <w:rPr>
                <w:sz w:val="20"/>
              </w:rPr>
              <w:t>3.</w:t>
            </w:r>
            <w:r>
              <w:rPr>
                <w:bCs/>
                <w:sz w:val="20"/>
              </w:rPr>
              <w:t xml:space="preserve"> Расчет размера собственных средств профессионального участника рынка ценных бумаг</w:t>
            </w:r>
          </w:p>
        </w:tc>
      </w:tr>
      <w:tr w:rsidR="008C0A68" w14:paraId="7E03BE64" w14:textId="77777777" w:rsidTr="00E41AB9">
        <w:trPr>
          <w:trHeight w:val="269"/>
          <w:tblHeader/>
        </w:trPr>
        <w:tc>
          <w:tcPr>
            <w:tcW w:w="242" w:type="pct"/>
            <w:tcBorders>
              <w:top w:val="single" w:sz="4" w:space="0" w:color="auto"/>
              <w:left w:val="single" w:sz="4" w:space="0" w:color="auto"/>
              <w:bottom w:val="single" w:sz="4" w:space="0" w:color="auto"/>
              <w:right w:val="single" w:sz="4" w:space="0" w:color="auto"/>
            </w:tcBorders>
            <w:vAlign w:val="center"/>
            <w:hideMark/>
          </w:tcPr>
          <w:p w14:paraId="0B77103E" w14:textId="77777777" w:rsidR="008C0A68" w:rsidRDefault="008C0A68" w:rsidP="00E41AB9">
            <w:pPr>
              <w:jc w:val="center"/>
              <w:rPr>
                <w:rFonts w:eastAsia="MS Mincho"/>
                <w:bCs/>
                <w:i/>
                <w:iCs/>
                <w:sz w:val="20"/>
              </w:rPr>
            </w:pPr>
            <w:r>
              <w:rPr>
                <w:rFonts w:eastAsia="MS Mincho"/>
                <w:bCs/>
                <w:i/>
                <w:iCs/>
                <w:sz w:val="20"/>
              </w:rPr>
              <w:t>К6</w:t>
            </w:r>
          </w:p>
        </w:tc>
        <w:tc>
          <w:tcPr>
            <w:tcW w:w="836" w:type="pct"/>
            <w:tcBorders>
              <w:top w:val="single" w:sz="4" w:space="0" w:color="auto"/>
              <w:left w:val="single" w:sz="4" w:space="0" w:color="auto"/>
              <w:bottom w:val="single" w:sz="4" w:space="0" w:color="auto"/>
              <w:right w:val="single" w:sz="4" w:space="0" w:color="auto"/>
            </w:tcBorders>
            <w:vAlign w:val="center"/>
            <w:hideMark/>
          </w:tcPr>
          <w:p w14:paraId="71B6D8A3" w14:textId="77777777" w:rsidR="008C0A68" w:rsidRDefault="008C0A68" w:rsidP="00E41AB9">
            <w:pPr>
              <w:rPr>
                <w:rFonts w:eastAsia="Calibri"/>
                <w:sz w:val="20"/>
              </w:rPr>
            </w:pPr>
            <w:r>
              <w:rPr>
                <w:sz w:val="20"/>
              </w:rPr>
              <w:t>Расходы на обслуживание долга к операционным доходам</w:t>
            </w:r>
          </w:p>
        </w:tc>
        <w:tc>
          <w:tcPr>
            <w:tcW w:w="2376" w:type="pct"/>
            <w:tcBorders>
              <w:top w:val="single" w:sz="4" w:space="0" w:color="auto"/>
              <w:left w:val="single" w:sz="4" w:space="0" w:color="auto"/>
              <w:bottom w:val="single" w:sz="4" w:space="0" w:color="auto"/>
              <w:right w:val="single" w:sz="4" w:space="0" w:color="auto"/>
            </w:tcBorders>
            <w:vAlign w:val="center"/>
            <w:hideMark/>
          </w:tcPr>
          <w:p w14:paraId="0EA1D550" w14:textId="77777777" w:rsidR="008C0A68" w:rsidRDefault="008C0A68" w:rsidP="00E41AB9">
            <w:pPr>
              <w:rPr>
                <w:bCs/>
                <w:sz w:val="20"/>
              </w:rPr>
            </w:pPr>
            <w:r>
              <w:rPr>
                <w:bCs/>
                <w:sz w:val="20"/>
              </w:rPr>
              <w:t xml:space="preserve">К6 = </w:t>
            </w:r>
            <w:r>
              <w:rPr>
                <w:b/>
                <w:bCs/>
                <w:sz w:val="20"/>
              </w:rPr>
              <w:t>|</w:t>
            </w:r>
            <w:r>
              <w:rPr>
                <w:bCs/>
                <w:sz w:val="20"/>
              </w:rPr>
              <w:t>Расходы на обслуживание долга (статья ОПУ «Процентные расходы» (стр. 18))</w:t>
            </w:r>
            <w:r>
              <w:rPr>
                <w:b/>
                <w:bCs/>
                <w:sz w:val="20"/>
              </w:rPr>
              <w:t xml:space="preserve"> |</w:t>
            </w:r>
            <w:r>
              <w:rPr>
                <w:bCs/>
                <w:sz w:val="20"/>
              </w:rPr>
              <w:t xml:space="preserve"> / Чистый доход от операционной деятельности (статья ОПУ «Торговые и инвестиционные доходы» (стр. 1) + статья ОПУ «Выручка от оказания услуг и комиссионные доходы» (стр. 15))</w:t>
            </w:r>
          </w:p>
        </w:tc>
        <w:tc>
          <w:tcPr>
            <w:tcW w:w="1546" w:type="pct"/>
            <w:tcBorders>
              <w:top w:val="single" w:sz="4" w:space="0" w:color="auto"/>
              <w:left w:val="single" w:sz="4" w:space="0" w:color="auto"/>
              <w:bottom w:val="single" w:sz="4" w:space="0" w:color="auto"/>
              <w:right w:val="single" w:sz="4" w:space="0" w:color="auto"/>
            </w:tcBorders>
            <w:hideMark/>
          </w:tcPr>
          <w:p w14:paraId="71810758" w14:textId="77777777" w:rsidR="008C0A68" w:rsidRDefault="008C0A68" w:rsidP="00E41AB9">
            <w:pPr>
              <w:rPr>
                <w:bCs/>
                <w:sz w:val="20"/>
              </w:rPr>
            </w:pPr>
            <w:r>
              <w:rPr>
                <w:sz w:val="20"/>
              </w:rPr>
              <w:t>1. Отчёт о финансовых результатах НФО за текущий календарный год</w:t>
            </w:r>
          </w:p>
        </w:tc>
      </w:tr>
    </w:tbl>
    <w:p w14:paraId="70ABF33E" w14:textId="77777777" w:rsidR="008C0A68" w:rsidRDefault="008C0A68" w:rsidP="008C0A68">
      <w:pPr>
        <w:pStyle w:val="a7"/>
        <w:spacing w:after="120" w:line="360" w:lineRule="auto"/>
        <w:ind w:left="0" w:firstLine="567"/>
        <w:jc w:val="both"/>
        <w:rPr>
          <w:rFonts w:ascii="Times New Roman" w:eastAsia="MS Mincho" w:hAnsi="Times New Roman"/>
          <w:sz w:val="12"/>
          <w:szCs w:val="12"/>
        </w:rPr>
      </w:pPr>
    </w:p>
    <w:p w14:paraId="0F9F878A" w14:textId="77777777" w:rsidR="008C0A68" w:rsidRDefault="008C0A68" w:rsidP="008C0A68">
      <w:pPr>
        <w:pStyle w:val="a7"/>
        <w:spacing w:after="0" w:line="360" w:lineRule="auto"/>
        <w:ind w:left="0" w:firstLine="709"/>
        <w:jc w:val="both"/>
        <w:rPr>
          <w:rFonts w:ascii="Times New Roman" w:eastAsia="MS Mincho" w:hAnsi="Times New Roman"/>
          <w:sz w:val="24"/>
          <w:szCs w:val="24"/>
        </w:rPr>
      </w:pPr>
    </w:p>
    <w:p w14:paraId="761F6FE7" w14:textId="77777777" w:rsidR="008C0A68" w:rsidRDefault="008C0A68" w:rsidP="008C0A68">
      <w:pPr>
        <w:pStyle w:val="a7"/>
        <w:spacing w:after="0" w:line="360" w:lineRule="auto"/>
        <w:ind w:left="0" w:firstLine="709"/>
        <w:jc w:val="both"/>
        <w:rPr>
          <w:rFonts w:ascii="Times New Roman" w:eastAsia="MS Mincho" w:hAnsi="Times New Roman"/>
          <w:sz w:val="24"/>
          <w:szCs w:val="24"/>
        </w:rPr>
      </w:pPr>
      <w:r>
        <w:rPr>
          <w:rFonts w:ascii="Times New Roman" w:eastAsia="MS Mincho" w:hAnsi="Times New Roman"/>
          <w:sz w:val="24"/>
          <w:szCs w:val="24"/>
        </w:rPr>
        <w:lastRenderedPageBreak/>
        <w:t xml:space="preserve">Внутренний кредитный рейтинг контрагента определяется на основании расчётного коэффициента кредитоспособности (КК) контрагента </w:t>
      </w:r>
      <w:r>
        <w:rPr>
          <w:rFonts w:ascii="Times New Roman" w:hAnsi="Times New Roman"/>
          <w:sz w:val="24"/>
          <w:szCs w:val="24"/>
        </w:rPr>
        <w:t>в соответствии с Таблицей 4.</w:t>
      </w:r>
    </w:p>
    <w:p w14:paraId="2F14E8A8" w14:textId="77777777" w:rsidR="008C0A68" w:rsidRDefault="008C0A68" w:rsidP="008C0A68">
      <w:pPr>
        <w:ind w:left="567" w:hanging="567"/>
        <w:jc w:val="right"/>
        <w:rPr>
          <w:rFonts w:eastAsia="Calibri"/>
          <w:szCs w:val="24"/>
        </w:rPr>
      </w:pPr>
      <w:r>
        <w:rPr>
          <w:szCs w:val="24"/>
        </w:rPr>
        <w:t xml:space="preserve">Таблица 4. Определение </w:t>
      </w:r>
      <w:r>
        <w:rPr>
          <w:rFonts w:eastAsia="MS Mincho"/>
          <w:szCs w:val="24"/>
        </w:rPr>
        <w:t>внутренний кредитный рейтинг контрагента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2"/>
        <w:gridCol w:w="2160"/>
        <w:gridCol w:w="2922"/>
        <w:gridCol w:w="2123"/>
      </w:tblGrid>
      <w:tr w:rsidR="008C0A68" w14:paraId="2F021904" w14:textId="77777777" w:rsidTr="00E41AB9">
        <w:trPr>
          <w:jc w:val="center"/>
        </w:trPr>
        <w:tc>
          <w:tcPr>
            <w:tcW w:w="1121" w:type="pct"/>
            <w:tcBorders>
              <w:top w:val="single" w:sz="4" w:space="0" w:color="auto"/>
              <w:left w:val="single" w:sz="4" w:space="0" w:color="auto"/>
              <w:bottom w:val="single" w:sz="4" w:space="0" w:color="auto"/>
              <w:right w:val="single" w:sz="4" w:space="0" w:color="auto"/>
            </w:tcBorders>
            <w:vAlign w:val="center"/>
            <w:hideMark/>
          </w:tcPr>
          <w:p w14:paraId="502E32B2" w14:textId="77777777" w:rsidR="008C0A68" w:rsidRDefault="008C0A68" w:rsidP="00E41AB9">
            <w:pPr>
              <w:jc w:val="center"/>
              <w:rPr>
                <w:rFonts w:eastAsia="MS Mincho"/>
                <w:bCs/>
                <w:sz w:val="20"/>
              </w:rPr>
            </w:pPr>
            <w:r>
              <w:rPr>
                <w:rFonts w:eastAsia="MS Mincho"/>
                <w:bCs/>
                <w:sz w:val="20"/>
              </w:rPr>
              <w:t>Рейтинговая группа</w:t>
            </w: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5BC350" w14:textId="77777777" w:rsidR="008C0A68" w:rsidRDefault="008C0A68" w:rsidP="00E41AB9">
            <w:pPr>
              <w:jc w:val="center"/>
              <w:rPr>
                <w:rFonts w:eastAsia="MS Mincho"/>
                <w:bCs/>
                <w:sz w:val="20"/>
              </w:rPr>
            </w:pPr>
            <w:r>
              <w:rPr>
                <w:rFonts w:eastAsia="MS Mincho"/>
                <w:bCs/>
                <w:sz w:val="20"/>
              </w:rPr>
              <w:t>Внутренний кредитный рейтинг</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609613" w14:textId="77777777" w:rsidR="008C0A68" w:rsidRDefault="008C0A68" w:rsidP="00E41AB9">
            <w:pPr>
              <w:jc w:val="center"/>
              <w:rPr>
                <w:rFonts w:eastAsia="MS Mincho"/>
                <w:bCs/>
                <w:sz w:val="20"/>
              </w:rPr>
            </w:pPr>
            <w:r>
              <w:rPr>
                <w:rFonts w:eastAsia="MS Mincho"/>
                <w:bCs/>
                <w:sz w:val="20"/>
              </w:rPr>
              <w:t>Коэффициент кредитоспособности контрагента (КК)</w:t>
            </w:r>
          </w:p>
        </w:tc>
        <w:tc>
          <w:tcPr>
            <w:tcW w:w="11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6A31B7" w14:textId="77777777" w:rsidR="008C0A68" w:rsidRDefault="008C0A68" w:rsidP="00E41AB9">
            <w:pPr>
              <w:jc w:val="center"/>
              <w:rPr>
                <w:rFonts w:eastAsia="MS Mincho"/>
                <w:bCs/>
                <w:sz w:val="20"/>
              </w:rPr>
            </w:pPr>
            <w:r>
              <w:rPr>
                <w:rFonts w:eastAsia="MS Mincho"/>
                <w:bCs/>
                <w:sz w:val="20"/>
              </w:rPr>
              <w:t>Оценка кредитоспособности</w:t>
            </w:r>
          </w:p>
        </w:tc>
      </w:tr>
      <w:tr w:rsidR="008C0A68" w14:paraId="48D656B3" w14:textId="77777777" w:rsidTr="00E41AB9">
        <w:trPr>
          <w:trHeight w:val="248"/>
          <w:jc w:val="center"/>
        </w:trPr>
        <w:tc>
          <w:tcPr>
            <w:tcW w:w="1121" w:type="pct"/>
            <w:tcBorders>
              <w:top w:val="single" w:sz="4" w:space="0" w:color="auto"/>
              <w:left w:val="single" w:sz="4" w:space="0" w:color="auto"/>
              <w:bottom w:val="single" w:sz="4" w:space="0" w:color="auto"/>
              <w:right w:val="single" w:sz="4" w:space="0" w:color="auto"/>
            </w:tcBorders>
            <w:vAlign w:val="center"/>
            <w:hideMark/>
          </w:tcPr>
          <w:p w14:paraId="7E8678A1" w14:textId="77777777" w:rsidR="008C0A68" w:rsidRDefault="008C0A68" w:rsidP="00E41AB9">
            <w:pPr>
              <w:jc w:val="center"/>
              <w:rPr>
                <w:rFonts w:eastAsia="MS Mincho"/>
                <w:bCs/>
                <w:sz w:val="20"/>
              </w:rPr>
            </w:pPr>
            <w:r>
              <w:rPr>
                <w:rFonts w:eastAsia="MS Mincho"/>
                <w:bCs/>
                <w:sz w:val="20"/>
              </w:rPr>
              <w:t>1</w:t>
            </w: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CEB1F3" w14:textId="77777777" w:rsidR="008C0A68" w:rsidRDefault="008C0A68" w:rsidP="00E41AB9">
            <w:pPr>
              <w:jc w:val="center"/>
              <w:rPr>
                <w:rFonts w:eastAsia="MS Mincho"/>
                <w:bCs/>
                <w:sz w:val="20"/>
              </w:rPr>
            </w:pPr>
            <w:r>
              <w:rPr>
                <w:rFonts w:eastAsia="MS Mincho"/>
                <w:bCs/>
                <w:sz w:val="20"/>
              </w:rPr>
              <w:t>2</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8D7BB0" w14:textId="77777777" w:rsidR="008C0A68" w:rsidRDefault="008C0A68" w:rsidP="00E41AB9">
            <w:pPr>
              <w:jc w:val="center"/>
              <w:rPr>
                <w:rFonts w:eastAsia="MS Mincho"/>
                <w:bCs/>
                <w:sz w:val="20"/>
              </w:rPr>
            </w:pPr>
            <w:r>
              <w:rPr>
                <w:rFonts w:eastAsia="MS Mincho"/>
                <w:bCs/>
                <w:sz w:val="20"/>
              </w:rPr>
              <w:t>3</w:t>
            </w:r>
          </w:p>
        </w:tc>
        <w:tc>
          <w:tcPr>
            <w:tcW w:w="11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CEE290" w14:textId="77777777" w:rsidR="008C0A68" w:rsidRDefault="008C0A68" w:rsidP="00E41AB9">
            <w:pPr>
              <w:jc w:val="center"/>
              <w:rPr>
                <w:rFonts w:eastAsia="MS Mincho"/>
                <w:bCs/>
                <w:sz w:val="20"/>
              </w:rPr>
            </w:pPr>
            <w:r>
              <w:rPr>
                <w:rFonts w:eastAsia="MS Mincho"/>
                <w:bCs/>
                <w:sz w:val="20"/>
              </w:rPr>
              <w:t>4</w:t>
            </w:r>
          </w:p>
        </w:tc>
      </w:tr>
      <w:tr w:rsidR="008C0A68" w14:paraId="21D226DD" w14:textId="77777777" w:rsidTr="00E41AB9">
        <w:trPr>
          <w:trHeight w:val="248"/>
          <w:jc w:val="center"/>
        </w:trPr>
        <w:tc>
          <w:tcPr>
            <w:tcW w:w="1121" w:type="pct"/>
            <w:vMerge w:val="restart"/>
            <w:tcBorders>
              <w:top w:val="single" w:sz="4" w:space="0" w:color="auto"/>
              <w:left w:val="single" w:sz="4" w:space="0" w:color="auto"/>
              <w:bottom w:val="single" w:sz="4" w:space="0" w:color="auto"/>
              <w:right w:val="single" w:sz="4" w:space="0" w:color="auto"/>
            </w:tcBorders>
            <w:vAlign w:val="center"/>
            <w:hideMark/>
          </w:tcPr>
          <w:p w14:paraId="61C8E731" w14:textId="77777777" w:rsidR="008C0A68" w:rsidRDefault="008C0A68" w:rsidP="00E41AB9">
            <w:pPr>
              <w:pStyle w:val="Default"/>
              <w:spacing w:line="256" w:lineRule="auto"/>
              <w:jc w:val="center"/>
              <w:rPr>
                <w:sz w:val="20"/>
                <w:szCs w:val="20"/>
                <w:lang w:val="en-US"/>
              </w:rPr>
            </w:pPr>
            <w:r>
              <w:rPr>
                <w:sz w:val="20"/>
                <w:szCs w:val="20"/>
              </w:rPr>
              <w:t xml:space="preserve">Рейтинговая группа </w:t>
            </w:r>
            <w:r>
              <w:rPr>
                <w:sz w:val="20"/>
                <w:szCs w:val="20"/>
                <w:lang w:val="en-US"/>
              </w:rPr>
              <w:t>I</w:t>
            </w: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5A3EA8" w14:textId="77777777" w:rsidR="008C0A68" w:rsidRDefault="008C0A68" w:rsidP="00E41AB9">
            <w:pPr>
              <w:jc w:val="center"/>
              <w:rPr>
                <w:color w:val="000000"/>
                <w:sz w:val="20"/>
              </w:rPr>
            </w:pPr>
            <w:r>
              <w:rPr>
                <w:color w:val="000000"/>
                <w:sz w:val="20"/>
              </w:rPr>
              <w:t>ААА</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229689" w14:textId="77777777" w:rsidR="008C0A68" w:rsidRDefault="008C0A68" w:rsidP="00E41AB9">
            <w:pPr>
              <w:ind w:left="-76"/>
              <w:jc w:val="center"/>
              <w:rPr>
                <w:color w:val="000000"/>
                <w:sz w:val="20"/>
              </w:rPr>
            </w:pPr>
            <w:r>
              <w:rPr>
                <w:color w:val="000000"/>
                <w:sz w:val="20"/>
              </w:rPr>
              <w:t>100</w:t>
            </w:r>
          </w:p>
        </w:tc>
        <w:tc>
          <w:tcPr>
            <w:tcW w:w="114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F5E801" w14:textId="77777777" w:rsidR="008C0A68" w:rsidRDefault="008C0A68" w:rsidP="00E41AB9">
            <w:pPr>
              <w:ind w:left="-61"/>
              <w:jc w:val="center"/>
              <w:rPr>
                <w:color w:val="000000"/>
                <w:sz w:val="20"/>
              </w:rPr>
            </w:pPr>
            <w:r>
              <w:rPr>
                <w:color w:val="000000"/>
                <w:sz w:val="20"/>
              </w:rPr>
              <w:t>высокая</w:t>
            </w:r>
          </w:p>
        </w:tc>
      </w:tr>
      <w:tr w:rsidR="008C0A68" w14:paraId="07A4AFEF" w14:textId="77777777" w:rsidTr="00E41AB9">
        <w:trPr>
          <w:trHeight w:val="2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99E1E" w14:textId="77777777" w:rsidR="008C0A68" w:rsidRDefault="008C0A68" w:rsidP="00E41AB9">
            <w:pPr>
              <w:spacing w:line="256" w:lineRule="auto"/>
              <w:rPr>
                <w:rFonts w:eastAsia="Calibri"/>
                <w:color w:val="000000"/>
                <w:sz w:val="20"/>
                <w:lang w:val="en-US" w:eastAsia="en-US"/>
              </w:rPr>
            </w:pP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A3905B" w14:textId="77777777" w:rsidR="008C0A68" w:rsidRDefault="008C0A68" w:rsidP="00E41AB9">
            <w:pPr>
              <w:ind w:firstLine="33"/>
              <w:jc w:val="center"/>
              <w:rPr>
                <w:color w:val="000000"/>
                <w:sz w:val="20"/>
              </w:rPr>
            </w:pPr>
            <w:r>
              <w:rPr>
                <w:color w:val="000000"/>
                <w:sz w:val="20"/>
              </w:rPr>
              <w:t>АА</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E5DA62" w14:textId="77777777" w:rsidR="008C0A68" w:rsidRDefault="008C0A68" w:rsidP="00E41AB9">
            <w:pPr>
              <w:ind w:left="-76"/>
              <w:jc w:val="center"/>
              <w:rPr>
                <w:color w:val="000000"/>
                <w:sz w:val="20"/>
              </w:rPr>
            </w:pPr>
            <w:r>
              <w:rPr>
                <w:color w:val="000000"/>
                <w:sz w:val="20"/>
              </w:rPr>
              <w:t>От 90 (вкл.) до 100 (искл.)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7CDF2" w14:textId="77777777" w:rsidR="008C0A68" w:rsidRDefault="008C0A68" w:rsidP="00E41AB9">
            <w:pPr>
              <w:spacing w:line="256" w:lineRule="auto"/>
              <w:rPr>
                <w:rFonts w:eastAsia="Calibri"/>
                <w:color w:val="000000"/>
                <w:sz w:val="20"/>
                <w:lang w:eastAsia="en-US"/>
              </w:rPr>
            </w:pPr>
          </w:p>
        </w:tc>
      </w:tr>
      <w:tr w:rsidR="008C0A68" w14:paraId="4DD7123E" w14:textId="77777777" w:rsidTr="00E41AB9">
        <w:trPr>
          <w:trHeight w:val="2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E1055" w14:textId="77777777" w:rsidR="008C0A68" w:rsidRDefault="008C0A68" w:rsidP="00E41AB9">
            <w:pPr>
              <w:spacing w:line="256" w:lineRule="auto"/>
              <w:rPr>
                <w:rFonts w:eastAsia="Calibri"/>
                <w:color w:val="000000"/>
                <w:sz w:val="20"/>
                <w:lang w:val="en-US" w:eastAsia="en-US"/>
              </w:rPr>
            </w:pP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C562AC" w14:textId="77777777" w:rsidR="008C0A68" w:rsidRDefault="008C0A68" w:rsidP="00E41AB9">
            <w:pPr>
              <w:ind w:firstLine="33"/>
              <w:jc w:val="center"/>
              <w:rPr>
                <w:color w:val="000000"/>
                <w:sz w:val="20"/>
              </w:rPr>
            </w:pPr>
            <w:r>
              <w:rPr>
                <w:color w:val="000000"/>
                <w:sz w:val="20"/>
              </w:rPr>
              <w:t>А</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673980" w14:textId="77777777" w:rsidR="008C0A68" w:rsidRDefault="008C0A68" w:rsidP="00E41AB9">
            <w:pPr>
              <w:ind w:hanging="76"/>
              <w:jc w:val="center"/>
              <w:rPr>
                <w:color w:val="000000"/>
                <w:sz w:val="20"/>
              </w:rPr>
            </w:pPr>
            <w:r>
              <w:rPr>
                <w:color w:val="000000"/>
                <w:sz w:val="20"/>
              </w:rPr>
              <w:t>От 75 (вкл.) до 90 (искл.)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15B540" w14:textId="77777777" w:rsidR="008C0A68" w:rsidRDefault="008C0A68" w:rsidP="00E41AB9">
            <w:pPr>
              <w:spacing w:line="256" w:lineRule="auto"/>
              <w:rPr>
                <w:rFonts w:eastAsia="Calibri"/>
                <w:color w:val="000000"/>
                <w:sz w:val="20"/>
                <w:lang w:eastAsia="en-US"/>
              </w:rPr>
            </w:pPr>
          </w:p>
        </w:tc>
      </w:tr>
      <w:tr w:rsidR="008C0A68" w14:paraId="273B2510" w14:textId="77777777" w:rsidTr="00E41AB9">
        <w:trPr>
          <w:trHeight w:val="248"/>
          <w:jc w:val="center"/>
        </w:trPr>
        <w:tc>
          <w:tcPr>
            <w:tcW w:w="1121" w:type="pct"/>
            <w:vMerge w:val="restart"/>
            <w:tcBorders>
              <w:top w:val="single" w:sz="4" w:space="0" w:color="auto"/>
              <w:left w:val="single" w:sz="4" w:space="0" w:color="auto"/>
              <w:bottom w:val="single" w:sz="4" w:space="0" w:color="auto"/>
              <w:right w:val="single" w:sz="4" w:space="0" w:color="auto"/>
            </w:tcBorders>
            <w:vAlign w:val="center"/>
            <w:hideMark/>
          </w:tcPr>
          <w:p w14:paraId="4EE3C4FD"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II</w:t>
            </w: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091067" w14:textId="77777777" w:rsidR="008C0A68" w:rsidRDefault="008C0A68" w:rsidP="00E41AB9">
            <w:pPr>
              <w:ind w:firstLine="33"/>
              <w:jc w:val="center"/>
              <w:rPr>
                <w:color w:val="000000"/>
                <w:sz w:val="20"/>
              </w:rPr>
            </w:pPr>
            <w:r>
              <w:rPr>
                <w:color w:val="000000"/>
                <w:sz w:val="20"/>
              </w:rPr>
              <w:t>ВВВ</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C707DF" w14:textId="77777777" w:rsidR="008C0A68" w:rsidRDefault="008C0A68" w:rsidP="00E41AB9">
            <w:pPr>
              <w:ind w:hanging="76"/>
              <w:jc w:val="center"/>
              <w:rPr>
                <w:color w:val="000000"/>
                <w:sz w:val="20"/>
              </w:rPr>
            </w:pPr>
            <w:r>
              <w:rPr>
                <w:color w:val="000000"/>
                <w:sz w:val="20"/>
              </w:rPr>
              <w:t>От 65 (вкл.) до 75 (искл.)</w:t>
            </w:r>
          </w:p>
        </w:tc>
        <w:tc>
          <w:tcPr>
            <w:tcW w:w="114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85E8A7" w14:textId="77777777" w:rsidR="008C0A68" w:rsidRDefault="008C0A68" w:rsidP="00E41AB9">
            <w:pPr>
              <w:ind w:left="-61"/>
              <w:jc w:val="center"/>
              <w:rPr>
                <w:color w:val="000000"/>
                <w:sz w:val="20"/>
              </w:rPr>
            </w:pPr>
            <w:r>
              <w:rPr>
                <w:color w:val="000000"/>
                <w:sz w:val="20"/>
              </w:rPr>
              <w:t>средняя</w:t>
            </w:r>
          </w:p>
        </w:tc>
      </w:tr>
      <w:tr w:rsidR="008C0A68" w14:paraId="28DBE7A9" w14:textId="77777777" w:rsidTr="00E41AB9">
        <w:trPr>
          <w:trHeight w:val="2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99AD9" w14:textId="77777777" w:rsidR="008C0A68" w:rsidRDefault="008C0A68" w:rsidP="00E41AB9">
            <w:pPr>
              <w:spacing w:line="256" w:lineRule="auto"/>
              <w:rPr>
                <w:rFonts w:eastAsia="Calibri"/>
                <w:color w:val="000000"/>
                <w:sz w:val="20"/>
                <w:lang w:eastAsia="en-US"/>
              </w:rPr>
            </w:pP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864DF9" w14:textId="77777777" w:rsidR="008C0A68" w:rsidRDefault="008C0A68" w:rsidP="00E41AB9">
            <w:pPr>
              <w:ind w:firstLine="33"/>
              <w:jc w:val="center"/>
              <w:rPr>
                <w:color w:val="000000"/>
                <w:sz w:val="20"/>
              </w:rPr>
            </w:pPr>
            <w:r>
              <w:rPr>
                <w:color w:val="000000"/>
                <w:sz w:val="20"/>
              </w:rPr>
              <w:t>BВ</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6A2CD0" w14:textId="77777777" w:rsidR="008C0A68" w:rsidRDefault="008C0A68" w:rsidP="00E41AB9">
            <w:pPr>
              <w:ind w:hanging="76"/>
              <w:jc w:val="center"/>
              <w:rPr>
                <w:color w:val="000000"/>
                <w:sz w:val="20"/>
              </w:rPr>
            </w:pPr>
            <w:r>
              <w:rPr>
                <w:color w:val="000000"/>
                <w:sz w:val="20"/>
              </w:rPr>
              <w:t>От 55 (вкл.) до 65 (искл.)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45FBDB" w14:textId="77777777" w:rsidR="008C0A68" w:rsidRDefault="008C0A68" w:rsidP="00E41AB9">
            <w:pPr>
              <w:spacing w:line="256" w:lineRule="auto"/>
              <w:rPr>
                <w:rFonts w:eastAsia="Calibri"/>
                <w:color w:val="000000"/>
                <w:sz w:val="20"/>
                <w:lang w:eastAsia="en-US"/>
              </w:rPr>
            </w:pPr>
          </w:p>
        </w:tc>
      </w:tr>
      <w:tr w:rsidR="008C0A68" w14:paraId="0B504FE1" w14:textId="77777777" w:rsidTr="00E41AB9">
        <w:trPr>
          <w:trHeight w:val="2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315D7" w14:textId="77777777" w:rsidR="008C0A68" w:rsidRDefault="008C0A68" w:rsidP="00E41AB9">
            <w:pPr>
              <w:spacing w:line="256" w:lineRule="auto"/>
              <w:rPr>
                <w:rFonts w:eastAsia="Calibri"/>
                <w:color w:val="000000"/>
                <w:sz w:val="20"/>
                <w:lang w:eastAsia="en-US"/>
              </w:rPr>
            </w:pP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798B9B" w14:textId="77777777" w:rsidR="008C0A68" w:rsidRDefault="008C0A68" w:rsidP="00E41AB9">
            <w:pPr>
              <w:ind w:firstLine="33"/>
              <w:jc w:val="center"/>
              <w:rPr>
                <w:color w:val="000000"/>
                <w:sz w:val="20"/>
              </w:rPr>
            </w:pPr>
            <w:r>
              <w:rPr>
                <w:color w:val="000000"/>
                <w:sz w:val="20"/>
              </w:rPr>
              <w:t>В</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EDA37B" w14:textId="77777777" w:rsidR="008C0A68" w:rsidRDefault="008C0A68" w:rsidP="00E41AB9">
            <w:pPr>
              <w:ind w:hanging="76"/>
              <w:jc w:val="center"/>
              <w:rPr>
                <w:color w:val="000000"/>
                <w:sz w:val="20"/>
              </w:rPr>
            </w:pPr>
            <w:r>
              <w:rPr>
                <w:color w:val="000000"/>
                <w:sz w:val="20"/>
              </w:rPr>
              <w:t>От 40 (вкл.) до 55(искл.)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A58E49" w14:textId="77777777" w:rsidR="008C0A68" w:rsidRDefault="008C0A68" w:rsidP="00E41AB9">
            <w:pPr>
              <w:spacing w:line="256" w:lineRule="auto"/>
              <w:rPr>
                <w:rFonts w:eastAsia="Calibri"/>
                <w:color w:val="000000"/>
                <w:sz w:val="20"/>
                <w:lang w:eastAsia="en-US"/>
              </w:rPr>
            </w:pPr>
          </w:p>
        </w:tc>
      </w:tr>
      <w:tr w:rsidR="008C0A68" w14:paraId="002F3AC4" w14:textId="77777777" w:rsidTr="00E41AB9">
        <w:trPr>
          <w:trHeight w:val="248"/>
          <w:jc w:val="center"/>
        </w:trPr>
        <w:tc>
          <w:tcPr>
            <w:tcW w:w="1121" w:type="pct"/>
            <w:vMerge w:val="restart"/>
            <w:tcBorders>
              <w:top w:val="single" w:sz="4" w:space="0" w:color="auto"/>
              <w:left w:val="single" w:sz="4" w:space="0" w:color="auto"/>
              <w:bottom w:val="single" w:sz="4" w:space="0" w:color="auto"/>
              <w:right w:val="single" w:sz="4" w:space="0" w:color="auto"/>
            </w:tcBorders>
            <w:vAlign w:val="center"/>
            <w:hideMark/>
          </w:tcPr>
          <w:p w14:paraId="2315178C"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III</w:t>
            </w: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352129" w14:textId="77777777" w:rsidR="008C0A68" w:rsidRDefault="008C0A68" w:rsidP="00E41AB9">
            <w:pPr>
              <w:ind w:firstLine="33"/>
              <w:jc w:val="center"/>
              <w:rPr>
                <w:color w:val="000000"/>
                <w:sz w:val="20"/>
              </w:rPr>
            </w:pPr>
            <w:r>
              <w:rPr>
                <w:color w:val="000000"/>
                <w:sz w:val="20"/>
              </w:rPr>
              <w:t>ССС</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4610CA" w14:textId="77777777" w:rsidR="008C0A68" w:rsidRDefault="008C0A68" w:rsidP="00E41AB9">
            <w:pPr>
              <w:ind w:hanging="76"/>
              <w:jc w:val="center"/>
              <w:rPr>
                <w:color w:val="000000"/>
                <w:sz w:val="20"/>
              </w:rPr>
            </w:pPr>
            <w:r>
              <w:rPr>
                <w:color w:val="000000"/>
                <w:sz w:val="20"/>
              </w:rPr>
              <w:t>От 25 (вкл.) до 40 (искл.)</w:t>
            </w:r>
          </w:p>
        </w:tc>
        <w:tc>
          <w:tcPr>
            <w:tcW w:w="114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FEE8A0" w14:textId="77777777" w:rsidR="008C0A68" w:rsidRDefault="008C0A68" w:rsidP="00E41AB9">
            <w:pPr>
              <w:ind w:left="-61"/>
              <w:jc w:val="center"/>
              <w:rPr>
                <w:color w:val="000000"/>
                <w:sz w:val="20"/>
              </w:rPr>
            </w:pPr>
            <w:r>
              <w:rPr>
                <w:color w:val="000000"/>
                <w:sz w:val="20"/>
              </w:rPr>
              <w:t>низкая</w:t>
            </w:r>
          </w:p>
        </w:tc>
      </w:tr>
      <w:tr w:rsidR="008C0A68" w14:paraId="4B63F219" w14:textId="77777777" w:rsidTr="00E41AB9">
        <w:trPr>
          <w:trHeight w:val="2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EE0F40" w14:textId="77777777" w:rsidR="008C0A68" w:rsidRDefault="008C0A68" w:rsidP="00E41AB9">
            <w:pPr>
              <w:spacing w:line="256" w:lineRule="auto"/>
              <w:rPr>
                <w:rFonts w:eastAsia="Calibri"/>
                <w:color w:val="000000"/>
                <w:sz w:val="20"/>
                <w:lang w:eastAsia="en-US"/>
              </w:rPr>
            </w:pP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CBDDDE" w14:textId="77777777" w:rsidR="008C0A68" w:rsidRDefault="008C0A68" w:rsidP="00E41AB9">
            <w:pPr>
              <w:ind w:firstLine="33"/>
              <w:jc w:val="center"/>
              <w:rPr>
                <w:color w:val="000000"/>
                <w:sz w:val="20"/>
              </w:rPr>
            </w:pPr>
            <w:r>
              <w:rPr>
                <w:color w:val="000000"/>
                <w:sz w:val="20"/>
              </w:rPr>
              <w:t>СС</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B9127" w14:textId="77777777" w:rsidR="008C0A68" w:rsidRDefault="008C0A68" w:rsidP="00E41AB9">
            <w:pPr>
              <w:ind w:hanging="76"/>
              <w:jc w:val="center"/>
              <w:rPr>
                <w:color w:val="000000"/>
                <w:sz w:val="20"/>
              </w:rPr>
            </w:pPr>
            <w:r>
              <w:rPr>
                <w:color w:val="000000"/>
                <w:sz w:val="20"/>
              </w:rPr>
              <w:t>От 15 (вкл.) до 25 (искл.)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C3041" w14:textId="77777777" w:rsidR="008C0A68" w:rsidRDefault="008C0A68" w:rsidP="00E41AB9">
            <w:pPr>
              <w:spacing w:line="256" w:lineRule="auto"/>
              <w:rPr>
                <w:rFonts w:eastAsia="Calibri"/>
                <w:color w:val="000000"/>
                <w:sz w:val="20"/>
                <w:lang w:eastAsia="en-US"/>
              </w:rPr>
            </w:pPr>
          </w:p>
        </w:tc>
      </w:tr>
      <w:tr w:rsidR="008C0A68" w14:paraId="09726EEF" w14:textId="77777777" w:rsidTr="00E41AB9">
        <w:trPr>
          <w:trHeight w:val="2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4B83AB" w14:textId="77777777" w:rsidR="008C0A68" w:rsidRDefault="008C0A68" w:rsidP="00E41AB9">
            <w:pPr>
              <w:spacing w:line="256" w:lineRule="auto"/>
              <w:rPr>
                <w:rFonts w:eastAsia="Calibri"/>
                <w:color w:val="000000"/>
                <w:sz w:val="20"/>
                <w:lang w:eastAsia="en-US"/>
              </w:rPr>
            </w:pP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281C" w14:textId="77777777" w:rsidR="008C0A68" w:rsidRDefault="008C0A68" w:rsidP="00E41AB9">
            <w:pPr>
              <w:ind w:firstLine="33"/>
              <w:jc w:val="center"/>
              <w:rPr>
                <w:color w:val="000000"/>
                <w:sz w:val="20"/>
              </w:rPr>
            </w:pPr>
            <w:r>
              <w:rPr>
                <w:color w:val="000000"/>
                <w:sz w:val="20"/>
              </w:rPr>
              <w:t>С</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9AB713" w14:textId="77777777" w:rsidR="008C0A68" w:rsidRDefault="008C0A68" w:rsidP="00E41AB9">
            <w:pPr>
              <w:ind w:hanging="76"/>
              <w:jc w:val="center"/>
              <w:rPr>
                <w:color w:val="000000"/>
                <w:sz w:val="20"/>
              </w:rPr>
            </w:pPr>
            <w:r>
              <w:rPr>
                <w:color w:val="000000"/>
                <w:sz w:val="20"/>
              </w:rPr>
              <w:t>От 5 (вкл.) до 15 (искл.)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E4C51" w14:textId="77777777" w:rsidR="008C0A68" w:rsidRDefault="008C0A68" w:rsidP="00E41AB9">
            <w:pPr>
              <w:spacing w:line="256" w:lineRule="auto"/>
              <w:rPr>
                <w:rFonts w:eastAsia="Calibri"/>
                <w:color w:val="000000"/>
                <w:sz w:val="20"/>
                <w:lang w:eastAsia="en-US"/>
              </w:rPr>
            </w:pPr>
          </w:p>
        </w:tc>
      </w:tr>
      <w:tr w:rsidR="008C0A68" w14:paraId="6B881ED1" w14:textId="77777777" w:rsidTr="00E41AB9">
        <w:trPr>
          <w:trHeight w:val="363"/>
          <w:jc w:val="center"/>
        </w:trPr>
        <w:tc>
          <w:tcPr>
            <w:tcW w:w="1121" w:type="pct"/>
            <w:tcBorders>
              <w:top w:val="single" w:sz="4" w:space="0" w:color="auto"/>
              <w:left w:val="single" w:sz="4" w:space="0" w:color="auto"/>
              <w:bottom w:val="single" w:sz="4" w:space="0" w:color="auto"/>
              <w:right w:val="single" w:sz="4" w:space="0" w:color="auto"/>
            </w:tcBorders>
            <w:vAlign w:val="center"/>
            <w:hideMark/>
          </w:tcPr>
          <w:p w14:paraId="06168073" w14:textId="77777777" w:rsidR="008C0A68" w:rsidRDefault="008C0A68" w:rsidP="00E41AB9">
            <w:pPr>
              <w:pStyle w:val="Default"/>
              <w:spacing w:line="256" w:lineRule="auto"/>
              <w:jc w:val="center"/>
              <w:rPr>
                <w:sz w:val="20"/>
                <w:szCs w:val="20"/>
                <w:lang w:val="en-US"/>
              </w:rPr>
            </w:pPr>
            <w:r>
              <w:rPr>
                <w:sz w:val="20"/>
                <w:szCs w:val="20"/>
              </w:rPr>
              <w:t xml:space="preserve">Рейтинговая группа </w:t>
            </w:r>
            <w:r>
              <w:rPr>
                <w:sz w:val="20"/>
                <w:szCs w:val="20"/>
                <w:lang w:val="en-US"/>
              </w:rPr>
              <w:t>IV</w:t>
            </w:r>
          </w:p>
        </w:tc>
        <w:tc>
          <w:tcPr>
            <w:tcW w:w="11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4A630B" w14:textId="77777777" w:rsidR="008C0A68" w:rsidRDefault="008C0A68" w:rsidP="00E41AB9">
            <w:pPr>
              <w:ind w:firstLine="33"/>
              <w:jc w:val="center"/>
              <w:rPr>
                <w:color w:val="000000"/>
                <w:sz w:val="20"/>
              </w:rPr>
            </w:pPr>
            <w:r>
              <w:rPr>
                <w:color w:val="000000"/>
                <w:sz w:val="20"/>
              </w:rPr>
              <w:t>D</w:t>
            </w:r>
          </w:p>
        </w:tc>
        <w:tc>
          <w:tcPr>
            <w:tcW w:w="1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C6575D" w14:textId="77777777" w:rsidR="008C0A68" w:rsidRDefault="008C0A68" w:rsidP="00E41AB9">
            <w:pPr>
              <w:ind w:hanging="76"/>
              <w:jc w:val="center"/>
              <w:rPr>
                <w:color w:val="000000"/>
                <w:sz w:val="20"/>
              </w:rPr>
            </w:pPr>
            <w:r>
              <w:rPr>
                <w:color w:val="000000"/>
                <w:sz w:val="20"/>
              </w:rPr>
              <w:t>меньше 5</w:t>
            </w:r>
          </w:p>
        </w:tc>
        <w:tc>
          <w:tcPr>
            <w:tcW w:w="11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1277BA" w14:textId="77777777" w:rsidR="008C0A68" w:rsidRDefault="008C0A68" w:rsidP="00E41AB9">
            <w:pPr>
              <w:ind w:left="-61"/>
              <w:jc w:val="center"/>
              <w:rPr>
                <w:color w:val="000000"/>
                <w:sz w:val="20"/>
              </w:rPr>
            </w:pPr>
            <w:r>
              <w:rPr>
                <w:color w:val="000000"/>
                <w:sz w:val="20"/>
              </w:rPr>
              <w:t>дефолт</w:t>
            </w:r>
          </w:p>
        </w:tc>
      </w:tr>
    </w:tbl>
    <w:p w14:paraId="601328B1" w14:textId="77777777" w:rsidR="008C0A68" w:rsidRDefault="008C0A68" w:rsidP="004872F3">
      <w:pPr>
        <w:keepNext/>
        <w:keepLines/>
        <w:numPr>
          <w:ilvl w:val="0"/>
          <w:numId w:val="29"/>
        </w:numPr>
        <w:spacing w:before="120" w:after="120" w:line="360" w:lineRule="auto"/>
        <w:ind w:left="0" w:firstLine="0"/>
        <w:jc w:val="center"/>
        <w:rPr>
          <w:b/>
          <w:szCs w:val="24"/>
        </w:rPr>
      </w:pPr>
      <w:r>
        <w:rPr>
          <w:b/>
          <w:szCs w:val="24"/>
        </w:rPr>
        <w:t>Порядок определения вероятности дефолта PD (контрагент – юридическое лицо)</w:t>
      </w:r>
    </w:p>
    <w:p w14:paraId="5A0CF660" w14:textId="77777777" w:rsidR="008C0A68" w:rsidRDefault="008C0A68" w:rsidP="008C0A68">
      <w:pPr>
        <w:spacing w:line="360" w:lineRule="auto"/>
        <w:ind w:firstLine="708"/>
        <w:jc w:val="both"/>
        <w:rPr>
          <w:szCs w:val="24"/>
        </w:rPr>
      </w:pPr>
      <w:r>
        <w:rPr>
          <w:szCs w:val="24"/>
        </w:rPr>
        <w:t>Этапы определения вероятности дефолта (PD) по задолженности юридических лиц:</w:t>
      </w:r>
    </w:p>
    <w:p w14:paraId="3E54A62E" w14:textId="77777777" w:rsidR="008C0A68" w:rsidRDefault="008C0A68" w:rsidP="004872F3">
      <w:pPr>
        <w:pStyle w:val="a7"/>
        <w:numPr>
          <w:ilvl w:val="0"/>
          <w:numId w:val="32"/>
        </w:numPr>
        <w:spacing w:after="0" w:line="360" w:lineRule="auto"/>
        <w:jc w:val="both"/>
        <w:rPr>
          <w:rFonts w:ascii="Times New Roman" w:hAnsi="Times New Roman"/>
          <w:sz w:val="24"/>
          <w:szCs w:val="24"/>
        </w:rPr>
      </w:pPr>
      <w:r>
        <w:rPr>
          <w:rFonts w:ascii="Times New Roman" w:hAnsi="Times New Roman"/>
          <w:sz w:val="24"/>
          <w:szCs w:val="24"/>
        </w:rPr>
        <w:t>определяется годовая вероятность дефолта контрагента;</w:t>
      </w:r>
    </w:p>
    <w:p w14:paraId="5077FC5D" w14:textId="77777777" w:rsidR="008C0A68" w:rsidRDefault="008C0A68" w:rsidP="004872F3">
      <w:pPr>
        <w:pStyle w:val="a7"/>
        <w:numPr>
          <w:ilvl w:val="0"/>
          <w:numId w:val="32"/>
        </w:numPr>
        <w:spacing w:after="0" w:line="360" w:lineRule="auto"/>
        <w:jc w:val="both"/>
        <w:rPr>
          <w:rFonts w:ascii="Times New Roman" w:hAnsi="Times New Roman"/>
          <w:sz w:val="24"/>
          <w:szCs w:val="24"/>
        </w:rPr>
      </w:pPr>
      <w:r>
        <w:rPr>
          <w:rFonts w:ascii="Times New Roman" w:hAnsi="Times New Roman"/>
          <w:sz w:val="24"/>
          <w:szCs w:val="24"/>
        </w:rPr>
        <w:t>при необходимости осуществляется корректировка на обесценение;</w:t>
      </w:r>
    </w:p>
    <w:p w14:paraId="26196AD5" w14:textId="77777777" w:rsidR="008C0A68" w:rsidRDefault="008C0A68" w:rsidP="004872F3">
      <w:pPr>
        <w:pStyle w:val="a7"/>
        <w:numPr>
          <w:ilvl w:val="0"/>
          <w:numId w:val="32"/>
        </w:numPr>
        <w:spacing w:after="0" w:line="360" w:lineRule="auto"/>
        <w:jc w:val="both"/>
        <w:rPr>
          <w:rFonts w:ascii="Times New Roman" w:hAnsi="Times New Roman"/>
          <w:sz w:val="24"/>
          <w:szCs w:val="24"/>
        </w:rPr>
      </w:pPr>
      <w:r>
        <w:rPr>
          <w:rFonts w:ascii="Times New Roman" w:hAnsi="Times New Roman"/>
          <w:sz w:val="24"/>
          <w:szCs w:val="24"/>
        </w:rPr>
        <w:t>в предусмотренных настоящим разделом случаях осуществляется дополнительная корректировка на срок денежного потока, к которому будет применяться данная вероятность дефолта.</w:t>
      </w:r>
    </w:p>
    <w:p w14:paraId="38242833" w14:textId="77777777" w:rsidR="008C0A68" w:rsidRDefault="008C0A68" w:rsidP="008C0A68">
      <w:pPr>
        <w:keepLines/>
        <w:tabs>
          <w:tab w:val="left" w:pos="709"/>
        </w:tabs>
        <w:spacing w:line="360" w:lineRule="auto"/>
        <w:jc w:val="both"/>
        <w:rPr>
          <w:szCs w:val="24"/>
        </w:rPr>
      </w:pPr>
      <w:r>
        <w:rPr>
          <w:b/>
          <w:szCs w:val="24"/>
        </w:rPr>
        <w:t>6.1.</w:t>
      </w:r>
      <w:r>
        <w:rPr>
          <w:szCs w:val="24"/>
        </w:rPr>
        <w:t xml:space="preserve"> </w:t>
      </w:r>
      <w:r>
        <w:rPr>
          <w:szCs w:val="24"/>
        </w:rPr>
        <w:tab/>
      </w:r>
      <w:r>
        <w:rPr>
          <w:sz w:val="23"/>
          <w:szCs w:val="23"/>
        </w:rPr>
        <w:t>В случае наличия у контрагента рейтинга одного из российских рейтинговых агентств применяется значение PD, определенное российским рейтинговым агентством АО «Эксперт РА» (далее – Агентство) (таблица «Уровни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структурного финансирования») в составе публичного актуального отчета</w:t>
      </w:r>
      <w:r>
        <w:rPr>
          <w:sz w:val="16"/>
          <w:szCs w:val="16"/>
        </w:rPr>
        <w:t xml:space="preserve">20 </w:t>
      </w:r>
      <w:r>
        <w:rPr>
          <w:sz w:val="23"/>
          <w:szCs w:val="23"/>
        </w:rPr>
        <w:t>об исторических данных об уровнях дефолта по рейтинговым категориям применяемых рейтинговых шкал. При этом в случае наличия у контрагента нескольких рейтингов, присвоенных разными российскими рейтинговыми агентствами, выбирается наименьший рейтинг из актуальных и соотносится с рейтингом АО «Эксперт РА» в соответствии с Таблицей 1. Для отобранного рейтинга от АО «Эксперт РА» выбирается соответствующее значение PD для срока 1 год.</w:t>
      </w:r>
    </w:p>
    <w:p w14:paraId="5E26F68E" w14:textId="77777777" w:rsidR="008C0A68" w:rsidRDefault="008C0A68" w:rsidP="008C0A68">
      <w:pPr>
        <w:keepLines/>
        <w:tabs>
          <w:tab w:val="left" w:pos="709"/>
        </w:tabs>
        <w:spacing w:line="360" w:lineRule="auto"/>
        <w:jc w:val="both"/>
        <w:rPr>
          <w:szCs w:val="24"/>
        </w:rPr>
      </w:pPr>
      <w:r>
        <w:rPr>
          <w:szCs w:val="24"/>
        </w:rPr>
        <w:lastRenderedPageBreak/>
        <w:t xml:space="preserve">Если рейтинг контрагенту присвоен иным рейтинговым агентством или (при отсутствии внешнего рейтинга) контрагент имеет внутренний рейтинг, то определяется соответствующий ему рейтинг по шкале </w:t>
      </w:r>
      <w:r>
        <w:rPr>
          <w:sz w:val="23"/>
          <w:szCs w:val="23"/>
        </w:rPr>
        <w:t>АО «Эксперт РА»</w:t>
      </w:r>
      <w:r>
        <w:rPr>
          <w:szCs w:val="24"/>
        </w:rPr>
        <w:t xml:space="preserve">. В Таблице 5 приведена шкала соответствия внешних/внутренних кредитных рейтингов и годовой вероятности дефолта </w:t>
      </w:r>
      <w:r>
        <w:rPr>
          <w:szCs w:val="24"/>
          <w:lang w:val="en-US"/>
        </w:rPr>
        <w:t>PD</w:t>
      </w:r>
      <w:r>
        <w:rPr>
          <w:i/>
          <w:szCs w:val="24"/>
          <w:vertAlign w:val="subscript"/>
          <w:lang w:val="en-US"/>
        </w:rPr>
        <w:t>year</w:t>
      </w:r>
      <w:r>
        <w:rPr>
          <w:szCs w:val="24"/>
        </w:rPr>
        <w:t xml:space="preserve">. </w:t>
      </w:r>
    </w:p>
    <w:p w14:paraId="17CD911C" w14:textId="77777777" w:rsidR="008C0A68" w:rsidRDefault="008C0A68" w:rsidP="008C0A68">
      <w:pPr>
        <w:pStyle w:val="a7"/>
        <w:keepNext/>
        <w:spacing w:after="0" w:line="240" w:lineRule="auto"/>
        <w:ind w:left="0"/>
        <w:jc w:val="right"/>
        <w:rPr>
          <w:rFonts w:ascii="Times New Roman" w:eastAsia="MS Mincho" w:hAnsi="Times New Roman"/>
          <w:sz w:val="24"/>
          <w:szCs w:val="24"/>
        </w:rPr>
      </w:pPr>
      <w:r>
        <w:rPr>
          <w:rFonts w:ascii="Times New Roman" w:hAnsi="Times New Roman"/>
          <w:sz w:val="24"/>
          <w:szCs w:val="24"/>
        </w:rPr>
        <w:t xml:space="preserve">Таблица 5. Определение </w:t>
      </w:r>
      <w:r>
        <w:rPr>
          <w:rFonts w:ascii="Times New Roman" w:eastAsia="MS Mincho" w:hAnsi="Times New Roman"/>
          <w:sz w:val="24"/>
          <w:szCs w:val="24"/>
        </w:rPr>
        <w:t>вероятности дефолта контрагента</w:t>
      </w:r>
    </w:p>
    <w:p w14:paraId="4444ABC0" w14:textId="77777777" w:rsidR="008C0A68" w:rsidRDefault="008C0A68" w:rsidP="008C0A68">
      <w:pPr>
        <w:pStyle w:val="a7"/>
        <w:spacing w:after="0" w:line="240" w:lineRule="auto"/>
        <w:ind w:left="0"/>
        <w:jc w:val="right"/>
        <w:rPr>
          <w:rFonts w:ascii="Times New Roman" w:eastAsia="MS Mincho" w:hAnsi="Times New Roman"/>
          <w:sz w:val="24"/>
          <w:szCs w:val="24"/>
        </w:rPr>
      </w:pPr>
      <w:r>
        <w:rPr>
          <w:rFonts w:ascii="Times New Roman" w:eastAsia="MS Mincho" w:hAnsi="Times New Roman"/>
          <w:sz w:val="24"/>
          <w:szCs w:val="24"/>
        </w:rPr>
        <w:t>в зависимости от его кредитного рейтинга</w:t>
      </w:r>
    </w:p>
    <w:p w14:paraId="197DB0A8" w14:textId="77777777" w:rsidR="008C0A68" w:rsidRDefault="008C0A68" w:rsidP="008C0A68">
      <w:pPr>
        <w:spacing w:line="360" w:lineRule="auto"/>
        <w:jc w:val="right"/>
        <w:rPr>
          <w:rFonts w:eastAsia="Calibri"/>
          <w:szCs w:val="24"/>
        </w:rPr>
      </w:pPr>
      <w:r>
        <w:rPr>
          <w:szCs w:val="24"/>
        </w:rPr>
        <w:t>(таблица пересматривается при изменении рейтинга Российской Федерации)</w:t>
      </w:r>
    </w:p>
    <w:tbl>
      <w:tblPr>
        <w:tblW w:w="4500" w:type="pct"/>
        <w:tblLook w:val="04A0" w:firstRow="1" w:lastRow="0" w:firstColumn="1" w:lastColumn="0" w:noHBand="0" w:noVBand="1"/>
      </w:tblPr>
      <w:tblGrid>
        <w:gridCol w:w="1039"/>
        <w:gridCol w:w="671"/>
        <w:gridCol w:w="774"/>
        <w:gridCol w:w="612"/>
        <w:gridCol w:w="758"/>
        <w:gridCol w:w="930"/>
        <w:gridCol w:w="780"/>
        <w:gridCol w:w="803"/>
        <w:gridCol w:w="775"/>
        <w:gridCol w:w="1047"/>
        <w:gridCol w:w="1098"/>
      </w:tblGrid>
      <w:tr w:rsidR="008C0A68" w14:paraId="66EF12FE" w14:textId="77777777" w:rsidTr="00E41AB9">
        <w:trPr>
          <w:trHeight w:val="383"/>
        </w:trPr>
        <w:tc>
          <w:tcPr>
            <w:tcW w:w="582" w:type="pct"/>
            <w:vMerge w:val="restart"/>
            <w:tcBorders>
              <w:top w:val="single" w:sz="4" w:space="0" w:color="auto"/>
              <w:left w:val="single" w:sz="4" w:space="0" w:color="auto"/>
              <w:bottom w:val="single" w:sz="4" w:space="0" w:color="auto"/>
              <w:right w:val="single" w:sz="4" w:space="0" w:color="auto"/>
            </w:tcBorders>
            <w:vAlign w:val="center"/>
            <w:hideMark/>
          </w:tcPr>
          <w:p w14:paraId="05EED096" w14:textId="77777777" w:rsidR="008C0A68" w:rsidRDefault="008C0A68" w:rsidP="00E41AB9">
            <w:pPr>
              <w:pStyle w:val="Default"/>
              <w:spacing w:line="256" w:lineRule="auto"/>
              <w:jc w:val="center"/>
              <w:rPr>
                <w:sz w:val="20"/>
                <w:szCs w:val="20"/>
              </w:rPr>
            </w:pPr>
            <w:r>
              <w:rPr>
                <w:sz w:val="20"/>
                <w:szCs w:val="20"/>
              </w:rPr>
              <w:t>Рейтинговая группа</w:t>
            </w:r>
          </w:p>
        </w:tc>
        <w:tc>
          <w:tcPr>
            <w:tcW w:w="2884" w:type="pct"/>
            <w:gridSpan w:val="7"/>
            <w:tcBorders>
              <w:top w:val="single" w:sz="4" w:space="0" w:color="auto"/>
              <w:left w:val="single" w:sz="4" w:space="0" w:color="auto"/>
              <w:bottom w:val="single" w:sz="4" w:space="0" w:color="auto"/>
              <w:right w:val="single" w:sz="4" w:space="0" w:color="auto"/>
            </w:tcBorders>
            <w:vAlign w:val="center"/>
            <w:hideMark/>
          </w:tcPr>
          <w:p w14:paraId="35C4BCC5" w14:textId="77777777" w:rsidR="008C0A68" w:rsidRDefault="008C0A68" w:rsidP="00E41AB9">
            <w:pPr>
              <w:pStyle w:val="Default"/>
              <w:spacing w:line="256" w:lineRule="auto"/>
              <w:jc w:val="center"/>
              <w:rPr>
                <w:sz w:val="20"/>
                <w:szCs w:val="20"/>
              </w:rPr>
            </w:pPr>
            <w:r>
              <w:rPr>
                <w:sz w:val="20"/>
                <w:szCs w:val="20"/>
              </w:rPr>
              <w:t>Рейтинги кредитных рейтинговых агентств</w:t>
            </w:r>
          </w:p>
        </w:tc>
        <w:tc>
          <w:tcPr>
            <w:tcW w:w="435" w:type="pct"/>
            <w:vMerge w:val="restart"/>
            <w:tcBorders>
              <w:top w:val="single" w:sz="4" w:space="0" w:color="auto"/>
              <w:left w:val="single" w:sz="4" w:space="0" w:color="auto"/>
              <w:bottom w:val="single" w:sz="4" w:space="0" w:color="auto"/>
              <w:right w:val="single" w:sz="4" w:space="0" w:color="auto"/>
            </w:tcBorders>
            <w:vAlign w:val="center"/>
            <w:hideMark/>
          </w:tcPr>
          <w:p w14:paraId="578AA6D5" w14:textId="77777777" w:rsidR="008C0A68" w:rsidRDefault="008C0A68" w:rsidP="00E41AB9">
            <w:pPr>
              <w:pStyle w:val="Default"/>
              <w:spacing w:line="256" w:lineRule="auto"/>
              <w:jc w:val="center"/>
              <w:rPr>
                <w:sz w:val="20"/>
                <w:szCs w:val="20"/>
              </w:rPr>
            </w:pPr>
            <w:r>
              <w:rPr>
                <w:sz w:val="20"/>
                <w:szCs w:val="20"/>
              </w:rPr>
              <w:t>Внутрен</w:t>
            </w:r>
          </w:p>
          <w:p w14:paraId="7D2F2E57" w14:textId="77777777" w:rsidR="008C0A68" w:rsidRDefault="008C0A68" w:rsidP="00E41AB9">
            <w:pPr>
              <w:pStyle w:val="Default"/>
              <w:spacing w:line="256" w:lineRule="auto"/>
              <w:jc w:val="center"/>
              <w:rPr>
                <w:sz w:val="20"/>
                <w:szCs w:val="20"/>
              </w:rPr>
            </w:pPr>
            <w:r>
              <w:rPr>
                <w:sz w:val="20"/>
                <w:szCs w:val="20"/>
              </w:rPr>
              <w:t>ний кредит</w:t>
            </w:r>
          </w:p>
          <w:p w14:paraId="1611AE34" w14:textId="77777777" w:rsidR="008C0A68" w:rsidRDefault="008C0A68" w:rsidP="00E41AB9">
            <w:pPr>
              <w:pStyle w:val="Default"/>
              <w:spacing w:line="256" w:lineRule="auto"/>
              <w:jc w:val="center"/>
              <w:rPr>
                <w:sz w:val="20"/>
                <w:szCs w:val="20"/>
              </w:rPr>
            </w:pPr>
            <w:r>
              <w:rPr>
                <w:sz w:val="20"/>
                <w:szCs w:val="20"/>
              </w:rPr>
              <w:t>ный рейтинг</w:t>
            </w:r>
          </w:p>
        </w:tc>
        <w:tc>
          <w:tcPr>
            <w:tcW w:w="549" w:type="pct"/>
            <w:tcBorders>
              <w:top w:val="single" w:sz="4" w:space="0" w:color="auto"/>
              <w:left w:val="single" w:sz="4" w:space="0" w:color="auto"/>
              <w:bottom w:val="nil"/>
              <w:right w:val="single" w:sz="4" w:space="0" w:color="auto"/>
            </w:tcBorders>
          </w:tcPr>
          <w:p w14:paraId="3F54B843"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nil"/>
              <w:right w:val="single" w:sz="4" w:space="0" w:color="auto"/>
            </w:tcBorders>
          </w:tcPr>
          <w:p w14:paraId="302DC519" w14:textId="77777777" w:rsidR="008C0A68" w:rsidRDefault="008C0A68" w:rsidP="00E41AB9">
            <w:pPr>
              <w:pStyle w:val="Default"/>
              <w:spacing w:line="256" w:lineRule="auto"/>
              <w:jc w:val="center"/>
              <w:rPr>
                <w:sz w:val="20"/>
                <w:szCs w:val="20"/>
              </w:rPr>
            </w:pPr>
          </w:p>
        </w:tc>
      </w:tr>
      <w:tr w:rsidR="008C0A68" w14:paraId="34665955" w14:textId="77777777" w:rsidTr="00E41AB9">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87BFA"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4C7920A1" w14:textId="77777777" w:rsidR="008C0A68" w:rsidRDefault="008C0A68" w:rsidP="00E41AB9">
            <w:pPr>
              <w:pStyle w:val="Default"/>
              <w:spacing w:line="256" w:lineRule="auto"/>
              <w:jc w:val="center"/>
              <w:rPr>
                <w:sz w:val="20"/>
                <w:szCs w:val="20"/>
              </w:rPr>
            </w:pPr>
            <w:r>
              <w:rPr>
                <w:bCs/>
                <w:sz w:val="20"/>
                <w:szCs w:val="20"/>
              </w:rPr>
              <w:t>S&amp;P</w:t>
            </w:r>
          </w:p>
        </w:tc>
        <w:tc>
          <w:tcPr>
            <w:tcW w:w="354" w:type="pct"/>
            <w:tcBorders>
              <w:top w:val="single" w:sz="4" w:space="0" w:color="auto"/>
              <w:left w:val="single" w:sz="4" w:space="0" w:color="auto"/>
              <w:bottom w:val="single" w:sz="4" w:space="0" w:color="auto"/>
              <w:right w:val="single" w:sz="4" w:space="0" w:color="auto"/>
            </w:tcBorders>
            <w:vAlign w:val="center"/>
            <w:hideMark/>
          </w:tcPr>
          <w:p w14:paraId="5DE58F3D" w14:textId="77777777" w:rsidR="008C0A68" w:rsidRDefault="008C0A68" w:rsidP="00E41AB9">
            <w:pPr>
              <w:pStyle w:val="Default"/>
              <w:spacing w:line="256" w:lineRule="auto"/>
              <w:jc w:val="center"/>
              <w:rPr>
                <w:sz w:val="20"/>
                <w:szCs w:val="20"/>
              </w:rPr>
            </w:pPr>
            <w:r>
              <w:rPr>
                <w:bCs/>
                <w:sz w:val="20"/>
                <w:szCs w:val="20"/>
              </w:rPr>
              <w:t>Moody`s</w:t>
            </w:r>
          </w:p>
        </w:tc>
        <w:tc>
          <w:tcPr>
            <w:tcW w:w="369" w:type="pct"/>
            <w:tcBorders>
              <w:top w:val="single" w:sz="4" w:space="0" w:color="auto"/>
              <w:left w:val="single" w:sz="4" w:space="0" w:color="auto"/>
              <w:bottom w:val="single" w:sz="4" w:space="0" w:color="auto"/>
              <w:right w:val="single" w:sz="4" w:space="0" w:color="auto"/>
            </w:tcBorders>
            <w:vAlign w:val="center"/>
            <w:hideMark/>
          </w:tcPr>
          <w:p w14:paraId="4AB4ED54" w14:textId="77777777" w:rsidR="008C0A68" w:rsidRDefault="008C0A68" w:rsidP="00E41AB9">
            <w:pPr>
              <w:pStyle w:val="Default"/>
              <w:spacing w:line="256" w:lineRule="auto"/>
              <w:jc w:val="center"/>
              <w:rPr>
                <w:sz w:val="20"/>
                <w:szCs w:val="20"/>
              </w:rPr>
            </w:pPr>
            <w:r>
              <w:rPr>
                <w:bCs/>
                <w:sz w:val="20"/>
                <w:szCs w:val="20"/>
              </w:rPr>
              <w:t>Fitch</w:t>
            </w:r>
          </w:p>
        </w:tc>
        <w:tc>
          <w:tcPr>
            <w:tcW w:w="413" w:type="pct"/>
            <w:tcBorders>
              <w:top w:val="single" w:sz="4" w:space="0" w:color="auto"/>
              <w:left w:val="single" w:sz="4" w:space="0" w:color="auto"/>
              <w:bottom w:val="single" w:sz="4" w:space="0" w:color="auto"/>
              <w:right w:val="single" w:sz="4" w:space="0" w:color="auto"/>
            </w:tcBorders>
            <w:vAlign w:val="center"/>
            <w:hideMark/>
          </w:tcPr>
          <w:p w14:paraId="1A018503" w14:textId="77777777" w:rsidR="008C0A68" w:rsidRDefault="008C0A68" w:rsidP="00E41AB9">
            <w:pPr>
              <w:pStyle w:val="Default"/>
              <w:spacing w:line="256" w:lineRule="auto"/>
              <w:jc w:val="center"/>
              <w:rPr>
                <w:sz w:val="20"/>
                <w:szCs w:val="20"/>
              </w:rPr>
            </w:pPr>
            <w:r>
              <w:rPr>
                <w:sz w:val="20"/>
                <w:szCs w:val="20"/>
              </w:rPr>
              <w:t>Эксперт РА</w:t>
            </w:r>
          </w:p>
        </w:tc>
        <w:tc>
          <w:tcPr>
            <w:tcW w:w="512" w:type="pct"/>
            <w:tcBorders>
              <w:top w:val="single" w:sz="4" w:space="0" w:color="auto"/>
              <w:left w:val="single" w:sz="4" w:space="0" w:color="auto"/>
              <w:bottom w:val="single" w:sz="4" w:space="0" w:color="auto"/>
              <w:right w:val="single" w:sz="4" w:space="0" w:color="auto"/>
            </w:tcBorders>
            <w:vAlign w:val="center"/>
            <w:hideMark/>
          </w:tcPr>
          <w:p w14:paraId="4758813B" w14:textId="77777777" w:rsidR="008C0A68" w:rsidRDefault="008C0A68" w:rsidP="00E41AB9">
            <w:pPr>
              <w:pStyle w:val="Default"/>
              <w:spacing w:line="256" w:lineRule="auto"/>
              <w:jc w:val="center"/>
              <w:rPr>
                <w:sz w:val="20"/>
                <w:szCs w:val="20"/>
              </w:rPr>
            </w:pPr>
            <w:r>
              <w:rPr>
                <w:sz w:val="20"/>
                <w:szCs w:val="20"/>
              </w:rPr>
              <w:t>АКРА</w:t>
            </w:r>
          </w:p>
        </w:tc>
        <w:tc>
          <w:tcPr>
            <w:tcW w:w="445" w:type="pct"/>
            <w:tcBorders>
              <w:top w:val="nil"/>
              <w:left w:val="single" w:sz="4" w:space="0" w:color="auto"/>
              <w:bottom w:val="single" w:sz="4" w:space="0" w:color="auto"/>
              <w:right w:val="single" w:sz="4" w:space="0" w:color="auto"/>
            </w:tcBorders>
            <w:vAlign w:val="center"/>
            <w:hideMark/>
          </w:tcPr>
          <w:p w14:paraId="296296AB" w14:textId="77777777" w:rsidR="008C0A68" w:rsidRDefault="008C0A68" w:rsidP="00E41AB9">
            <w:pPr>
              <w:pStyle w:val="Default"/>
              <w:spacing w:line="256" w:lineRule="auto"/>
              <w:jc w:val="center"/>
              <w:rPr>
                <w:sz w:val="20"/>
                <w:szCs w:val="20"/>
              </w:rPr>
            </w:pPr>
            <w:r>
              <w:rPr>
                <w:sz w:val="20"/>
                <w:szCs w:val="20"/>
              </w:rPr>
              <w:t>НКР</w:t>
            </w:r>
          </w:p>
        </w:tc>
        <w:tc>
          <w:tcPr>
            <w:tcW w:w="438" w:type="pct"/>
            <w:tcBorders>
              <w:top w:val="nil"/>
              <w:left w:val="single" w:sz="4" w:space="0" w:color="auto"/>
              <w:bottom w:val="single" w:sz="4" w:space="0" w:color="auto"/>
              <w:right w:val="single" w:sz="4" w:space="0" w:color="auto"/>
            </w:tcBorders>
            <w:vAlign w:val="center"/>
            <w:hideMark/>
          </w:tcPr>
          <w:p w14:paraId="463AD69E" w14:textId="77777777" w:rsidR="008C0A68" w:rsidRDefault="008C0A68" w:rsidP="00E41AB9">
            <w:pPr>
              <w:pStyle w:val="Default"/>
              <w:spacing w:line="256" w:lineRule="auto"/>
              <w:jc w:val="center"/>
              <w:rPr>
                <w:sz w:val="20"/>
                <w:szCs w:val="20"/>
              </w:rPr>
            </w:pPr>
            <w:r>
              <w:rPr>
                <w:sz w:val="20"/>
                <w:szCs w:val="20"/>
              </w:rPr>
              <w:t>НРА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84396" w14:textId="77777777" w:rsidR="008C0A68" w:rsidRDefault="008C0A68" w:rsidP="00E41AB9">
            <w:pPr>
              <w:spacing w:line="256" w:lineRule="auto"/>
              <w:rPr>
                <w:rFonts w:eastAsia="Calibri"/>
                <w:color w:val="000000"/>
                <w:sz w:val="20"/>
                <w:lang w:eastAsia="en-US"/>
              </w:rPr>
            </w:pPr>
          </w:p>
        </w:tc>
        <w:tc>
          <w:tcPr>
            <w:tcW w:w="549" w:type="pct"/>
            <w:tcBorders>
              <w:top w:val="nil"/>
              <w:left w:val="single" w:sz="4" w:space="0" w:color="auto"/>
              <w:bottom w:val="single" w:sz="4" w:space="0" w:color="auto"/>
              <w:right w:val="single" w:sz="4" w:space="0" w:color="auto"/>
            </w:tcBorders>
            <w:hideMark/>
          </w:tcPr>
          <w:p w14:paraId="2155C9AE" w14:textId="77777777" w:rsidR="008C0A68" w:rsidRDefault="008C0A68" w:rsidP="00E41AB9">
            <w:pPr>
              <w:pStyle w:val="Default"/>
              <w:spacing w:line="256" w:lineRule="auto"/>
              <w:jc w:val="center"/>
              <w:rPr>
                <w:sz w:val="20"/>
                <w:szCs w:val="20"/>
              </w:rPr>
            </w:pPr>
            <w:r>
              <w:rPr>
                <w:sz w:val="20"/>
                <w:szCs w:val="20"/>
              </w:rPr>
              <w:t>Вероятность дефолта PDyear</w:t>
            </w:r>
            <w:r>
              <w:rPr>
                <w:rStyle w:val="af1"/>
                <w:lang w:val="en-US"/>
              </w:rPr>
              <w:footnoteReference w:id="13"/>
            </w:r>
            <w:r>
              <w:rPr>
                <w:sz w:val="20"/>
                <w:szCs w:val="20"/>
              </w:rPr>
              <w:t xml:space="preserve">  по шкале РА ЭКСПЕРТ, % для организаций имеющих внешний рейтинг</w:t>
            </w:r>
          </w:p>
        </w:tc>
        <w:tc>
          <w:tcPr>
            <w:tcW w:w="549" w:type="pct"/>
            <w:tcBorders>
              <w:top w:val="nil"/>
              <w:left w:val="single" w:sz="4" w:space="0" w:color="auto"/>
              <w:bottom w:val="single" w:sz="4" w:space="0" w:color="auto"/>
              <w:right w:val="single" w:sz="4" w:space="0" w:color="auto"/>
            </w:tcBorders>
            <w:hideMark/>
          </w:tcPr>
          <w:p w14:paraId="7326D92C" w14:textId="77777777" w:rsidR="008C0A68" w:rsidRDefault="008C0A68" w:rsidP="00E41AB9">
            <w:pPr>
              <w:pStyle w:val="Default"/>
              <w:spacing w:line="256" w:lineRule="auto"/>
              <w:jc w:val="center"/>
              <w:rPr>
                <w:sz w:val="20"/>
                <w:szCs w:val="20"/>
              </w:rPr>
            </w:pPr>
            <w:r>
              <w:rPr>
                <w:sz w:val="20"/>
                <w:szCs w:val="20"/>
              </w:rPr>
              <w:t>Вероятность дефолта PDyear  в, % для организаций. оцениваемых по внутреннему кредитному рейтингу</w:t>
            </w:r>
          </w:p>
        </w:tc>
      </w:tr>
      <w:tr w:rsidR="008C0A68" w14:paraId="20566EF2" w14:textId="77777777" w:rsidTr="00E41AB9">
        <w:trPr>
          <w:trHeight w:val="231"/>
        </w:trPr>
        <w:tc>
          <w:tcPr>
            <w:tcW w:w="582" w:type="pct"/>
            <w:tcBorders>
              <w:top w:val="nil"/>
              <w:left w:val="single" w:sz="4" w:space="0" w:color="auto"/>
              <w:bottom w:val="single" w:sz="4" w:space="0" w:color="auto"/>
              <w:right w:val="single" w:sz="4" w:space="0" w:color="auto"/>
            </w:tcBorders>
            <w:vAlign w:val="center"/>
            <w:hideMark/>
          </w:tcPr>
          <w:p w14:paraId="557DDE88" w14:textId="77777777" w:rsidR="008C0A68" w:rsidRDefault="008C0A68" w:rsidP="00E41AB9">
            <w:pPr>
              <w:jc w:val="center"/>
              <w:rPr>
                <w:color w:val="000000"/>
                <w:sz w:val="20"/>
              </w:rPr>
            </w:pPr>
            <w:r>
              <w:rPr>
                <w:color w:val="000000"/>
                <w:sz w:val="20"/>
              </w:rPr>
              <w:t>1</w:t>
            </w:r>
          </w:p>
        </w:tc>
        <w:tc>
          <w:tcPr>
            <w:tcW w:w="353" w:type="pct"/>
            <w:tcBorders>
              <w:top w:val="single" w:sz="4" w:space="0" w:color="auto"/>
              <w:left w:val="single" w:sz="4" w:space="0" w:color="auto"/>
              <w:bottom w:val="single" w:sz="4" w:space="0" w:color="auto"/>
              <w:right w:val="single" w:sz="4" w:space="0" w:color="auto"/>
            </w:tcBorders>
            <w:vAlign w:val="center"/>
            <w:hideMark/>
          </w:tcPr>
          <w:p w14:paraId="58CEDA47" w14:textId="77777777" w:rsidR="008C0A68" w:rsidRDefault="008C0A68" w:rsidP="00E41AB9">
            <w:pPr>
              <w:pStyle w:val="Default"/>
              <w:spacing w:line="256" w:lineRule="auto"/>
              <w:jc w:val="center"/>
              <w:rPr>
                <w:sz w:val="20"/>
                <w:szCs w:val="20"/>
              </w:rPr>
            </w:pPr>
            <w:r>
              <w:rPr>
                <w:sz w:val="20"/>
                <w:szCs w:val="20"/>
              </w:rPr>
              <w:t>2</w:t>
            </w:r>
          </w:p>
        </w:tc>
        <w:tc>
          <w:tcPr>
            <w:tcW w:w="354" w:type="pct"/>
            <w:tcBorders>
              <w:top w:val="single" w:sz="4" w:space="0" w:color="auto"/>
              <w:left w:val="single" w:sz="4" w:space="0" w:color="auto"/>
              <w:bottom w:val="single" w:sz="4" w:space="0" w:color="auto"/>
              <w:right w:val="single" w:sz="4" w:space="0" w:color="auto"/>
            </w:tcBorders>
            <w:vAlign w:val="center"/>
            <w:hideMark/>
          </w:tcPr>
          <w:p w14:paraId="1298AB97" w14:textId="77777777" w:rsidR="008C0A68" w:rsidRDefault="008C0A68" w:rsidP="00E41AB9">
            <w:pPr>
              <w:pStyle w:val="Default"/>
              <w:spacing w:line="256" w:lineRule="auto"/>
              <w:jc w:val="center"/>
              <w:rPr>
                <w:sz w:val="20"/>
                <w:szCs w:val="20"/>
              </w:rPr>
            </w:pPr>
            <w:r>
              <w:rPr>
                <w:sz w:val="20"/>
                <w:szCs w:val="20"/>
              </w:rPr>
              <w:t>3</w:t>
            </w:r>
          </w:p>
        </w:tc>
        <w:tc>
          <w:tcPr>
            <w:tcW w:w="369" w:type="pct"/>
            <w:tcBorders>
              <w:top w:val="single" w:sz="4" w:space="0" w:color="auto"/>
              <w:left w:val="single" w:sz="4" w:space="0" w:color="auto"/>
              <w:bottom w:val="single" w:sz="4" w:space="0" w:color="auto"/>
              <w:right w:val="single" w:sz="4" w:space="0" w:color="auto"/>
            </w:tcBorders>
            <w:vAlign w:val="center"/>
            <w:hideMark/>
          </w:tcPr>
          <w:p w14:paraId="05FB7283" w14:textId="77777777" w:rsidR="008C0A68" w:rsidRDefault="008C0A68" w:rsidP="00E41AB9">
            <w:pPr>
              <w:pStyle w:val="Default"/>
              <w:spacing w:line="256" w:lineRule="auto"/>
              <w:jc w:val="center"/>
              <w:rPr>
                <w:sz w:val="20"/>
                <w:szCs w:val="20"/>
              </w:rPr>
            </w:pPr>
            <w:r>
              <w:rPr>
                <w:sz w:val="20"/>
                <w:szCs w:val="20"/>
              </w:rPr>
              <w:t>4</w:t>
            </w:r>
          </w:p>
        </w:tc>
        <w:tc>
          <w:tcPr>
            <w:tcW w:w="413" w:type="pct"/>
            <w:tcBorders>
              <w:top w:val="single" w:sz="4" w:space="0" w:color="auto"/>
              <w:left w:val="single" w:sz="4" w:space="0" w:color="auto"/>
              <w:bottom w:val="single" w:sz="4" w:space="0" w:color="auto"/>
              <w:right w:val="single" w:sz="4" w:space="0" w:color="auto"/>
            </w:tcBorders>
            <w:vAlign w:val="center"/>
            <w:hideMark/>
          </w:tcPr>
          <w:p w14:paraId="1A64B6FA" w14:textId="77777777" w:rsidR="008C0A68" w:rsidRDefault="008C0A68" w:rsidP="00E41AB9">
            <w:pPr>
              <w:pStyle w:val="Default"/>
              <w:spacing w:line="256" w:lineRule="auto"/>
              <w:jc w:val="center"/>
              <w:rPr>
                <w:sz w:val="20"/>
                <w:szCs w:val="20"/>
              </w:rPr>
            </w:pPr>
            <w:r>
              <w:rPr>
                <w:sz w:val="20"/>
                <w:szCs w:val="20"/>
              </w:rPr>
              <w:t>5</w:t>
            </w:r>
          </w:p>
        </w:tc>
        <w:tc>
          <w:tcPr>
            <w:tcW w:w="512" w:type="pct"/>
            <w:tcBorders>
              <w:top w:val="single" w:sz="4" w:space="0" w:color="auto"/>
              <w:left w:val="single" w:sz="4" w:space="0" w:color="auto"/>
              <w:bottom w:val="single" w:sz="4" w:space="0" w:color="auto"/>
              <w:right w:val="single" w:sz="4" w:space="0" w:color="auto"/>
            </w:tcBorders>
            <w:vAlign w:val="center"/>
            <w:hideMark/>
          </w:tcPr>
          <w:p w14:paraId="24CC4ED1" w14:textId="77777777" w:rsidR="008C0A68" w:rsidRDefault="008C0A68" w:rsidP="00E41AB9">
            <w:pPr>
              <w:pStyle w:val="Default"/>
              <w:spacing w:line="256" w:lineRule="auto"/>
              <w:jc w:val="center"/>
              <w:rPr>
                <w:sz w:val="20"/>
                <w:szCs w:val="20"/>
              </w:rPr>
            </w:pPr>
            <w:r>
              <w:rPr>
                <w:sz w:val="20"/>
                <w:szCs w:val="20"/>
              </w:rPr>
              <w:t>6</w:t>
            </w:r>
          </w:p>
        </w:tc>
        <w:tc>
          <w:tcPr>
            <w:tcW w:w="445" w:type="pct"/>
            <w:tcBorders>
              <w:top w:val="single" w:sz="4" w:space="0" w:color="auto"/>
              <w:left w:val="single" w:sz="4" w:space="0" w:color="auto"/>
              <w:bottom w:val="single" w:sz="4" w:space="0" w:color="auto"/>
              <w:right w:val="single" w:sz="4" w:space="0" w:color="auto"/>
            </w:tcBorders>
            <w:hideMark/>
          </w:tcPr>
          <w:p w14:paraId="4CF87208" w14:textId="77777777" w:rsidR="008C0A68" w:rsidRDefault="008C0A68" w:rsidP="00E41AB9">
            <w:pPr>
              <w:pStyle w:val="Default"/>
              <w:spacing w:line="256" w:lineRule="auto"/>
              <w:jc w:val="center"/>
              <w:rPr>
                <w:sz w:val="20"/>
                <w:szCs w:val="20"/>
              </w:rPr>
            </w:pPr>
            <w:r>
              <w:rPr>
                <w:sz w:val="20"/>
                <w:szCs w:val="20"/>
              </w:rPr>
              <w:t>7</w:t>
            </w:r>
          </w:p>
        </w:tc>
        <w:tc>
          <w:tcPr>
            <w:tcW w:w="438" w:type="pct"/>
            <w:tcBorders>
              <w:top w:val="single" w:sz="4" w:space="0" w:color="auto"/>
              <w:left w:val="single" w:sz="4" w:space="0" w:color="auto"/>
              <w:bottom w:val="single" w:sz="4" w:space="0" w:color="auto"/>
              <w:right w:val="single" w:sz="4" w:space="0" w:color="auto"/>
            </w:tcBorders>
            <w:hideMark/>
          </w:tcPr>
          <w:p w14:paraId="723B6908" w14:textId="77777777" w:rsidR="008C0A68" w:rsidRDefault="008C0A68" w:rsidP="00E41AB9">
            <w:pPr>
              <w:pStyle w:val="Default"/>
              <w:spacing w:line="256" w:lineRule="auto"/>
              <w:jc w:val="center"/>
              <w:rPr>
                <w:sz w:val="20"/>
                <w:szCs w:val="20"/>
              </w:rPr>
            </w:pPr>
            <w:r>
              <w:rPr>
                <w:sz w:val="20"/>
                <w:szCs w:val="20"/>
              </w:rPr>
              <w:t>8</w:t>
            </w:r>
          </w:p>
        </w:tc>
        <w:tc>
          <w:tcPr>
            <w:tcW w:w="435" w:type="pct"/>
            <w:tcBorders>
              <w:top w:val="single" w:sz="4" w:space="0" w:color="auto"/>
              <w:left w:val="single" w:sz="4" w:space="0" w:color="auto"/>
              <w:bottom w:val="single" w:sz="4" w:space="0" w:color="auto"/>
              <w:right w:val="single" w:sz="4" w:space="0" w:color="auto"/>
            </w:tcBorders>
            <w:vAlign w:val="center"/>
            <w:hideMark/>
          </w:tcPr>
          <w:p w14:paraId="6C3946B9" w14:textId="77777777" w:rsidR="008C0A68" w:rsidRDefault="008C0A68" w:rsidP="00E41AB9">
            <w:pPr>
              <w:pStyle w:val="Default"/>
              <w:spacing w:line="256" w:lineRule="auto"/>
              <w:jc w:val="center"/>
              <w:rPr>
                <w:sz w:val="20"/>
                <w:szCs w:val="20"/>
              </w:rPr>
            </w:pPr>
            <w:r>
              <w:rPr>
                <w:sz w:val="20"/>
                <w:szCs w:val="20"/>
              </w:rPr>
              <w:t>9</w:t>
            </w:r>
          </w:p>
        </w:tc>
        <w:tc>
          <w:tcPr>
            <w:tcW w:w="549" w:type="pct"/>
            <w:tcBorders>
              <w:top w:val="single" w:sz="4" w:space="0" w:color="auto"/>
              <w:left w:val="single" w:sz="4" w:space="0" w:color="auto"/>
              <w:bottom w:val="single" w:sz="4" w:space="0" w:color="auto"/>
              <w:right w:val="single" w:sz="4" w:space="0" w:color="auto"/>
            </w:tcBorders>
          </w:tcPr>
          <w:p w14:paraId="6C5B19EB"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7DFE502B" w14:textId="77777777" w:rsidR="008C0A68" w:rsidRDefault="008C0A68" w:rsidP="00E41AB9">
            <w:pPr>
              <w:pStyle w:val="Default"/>
              <w:spacing w:line="256" w:lineRule="auto"/>
              <w:jc w:val="center"/>
              <w:rPr>
                <w:sz w:val="20"/>
                <w:szCs w:val="20"/>
              </w:rPr>
            </w:pPr>
          </w:p>
        </w:tc>
      </w:tr>
      <w:tr w:rsidR="008C0A68" w14:paraId="56ABD957" w14:textId="77777777" w:rsidTr="00E41AB9">
        <w:trPr>
          <w:trHeight w:val="271"/>
        </w:trPr>
        <w:tc>
          <w:tcPr>
            <w:tcW w:w="582" w:type="pct"/>
            <w:vMerge w:val="restart"/>
            <w:tcBorders>
              <w:top w:val="single" w:sz="4" w:space="0" w:color="auto"/>
              <w:left w:val="single" w:sz="4" w:space="0" w:color="auto"/>
              <w:bottom w:val="single" w:sz="4" w:space="0" w:color="auto"/>
              <w:right w:val="single" w:sz="4" w:space="0" w:color="auto"/>
            </w:tcBorders>
            <w:vAlign w:val="center"/>
            <w:hideMark/>
          </w:tcPr>
          <w:p w14:paraId="2EEAEDFE"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w:t>
            </w:r>
          </w:p>
        </w:tc>
        <w:tc>
          <w:tcPr>
            <w:tcW w:w="353" w:type="pct"/>
            <w:tcBorders>
              <w:top w:val="single" w:sz="4" w:space="0" w:color="auto"/>
              <w:left w:val="single" w:sz="4" w:space="0" w:color="auto"/>
              <w:bottom w:val="single" w:sz="4" w:space="0" w:color="auto"/>
              <w:right w:val="single" w:sz="4" w:space="0" w:color="auto"/>
            </w:tcBorders>
            <w:vAlign w:val="center"/>
            <w:hideMark/>
          </w:tcPr>
          <w:p w14:paraId="05B8E5F8" w14:textId="77777777" w:rsidR="008C0A68" w:rsidRDefault="008C0A68" w:rsidP="00E41AB9">
            <w:pPr>
              <w:jc w:val="center"/>
              <w:rPr>
                <w:color w:val="000000"/>
                <w:sz w:val="20"/>
              </w:rPr>
            </w:pPr>
            <w:r>
              <w:rPr>
                <w:color w:val="000000"/>
                <w:sz w:val="20"/>
              </w:rPr>
              <w:t>AAA</w:t>
            </w:r>
          </w:p>
        </w:tc>
        <w:tc>
          <w:tcPr>
            <w:tcW w:w="354" w:type="pct"/>
            <w:tcBorders>
              <w:top w:val="single" w:sz="4" w:space="0" w:color="auto"/>
              <w:left w:val="single" w:sz="4" w:space="0" w:color="auto"/>
              <w:bottom w:val="single" w:sz="4" w:space="0" w:color="auto"/>
              <w:right w:val="single" w:sz="4" w:space="0" w:color="auto"/>
            </w:tcBorders>
            <w:vAlign w:val="center"/>
            <w:hideMark/>
          </w:tcPr>
          <w:p w14:paraId="215B1384" w14:textId="77777777" w:rsidR="008C0A68" w:rsidRDefault="008C0A68" w:rsidP="00E41AB9">
            <w:pPr>
              <w:jc w:val="center"/>
              <w:rPr>
                <w:color w:val="000000"/>
                <w:sz w:val="20"/>
              </w:rPr>
            </w:pPr>
            <w:r>
              <w:rPr>
                <w:color w:val="000000"/>
                <w:sz w:val="20"/>
              </w:rPr>
              <w:t>Aaa</w:t>
            </w:r>
          </w:p>
        </w:tc>
        <w:tc>
          <w:tcPr>
            <w:tcW w:w="369" w:type="pct"/>
            <w:tcBorders>
              <w:top w:val="single" w:sz="4" w:space="0" w:color="auto"/>
              <w:left w:val="single" w:sz="4" w:space="0" w:color="auto"/>
              <w:bottom w:val="single" w:sz="4" w:space="0" w:color="auto"/>
              <w:right w:val="single" w:sz="4" w:space="0" w:color="auto"/>
            </w:tcBorders>
            <w:vAlign w:val="center"/>
            <w:hideMark/>
          </w:tcPr>
          <w:p w14:paraId="3E08802D" w14:textId="77777777" w:rsidR="008C0A68" w:rsidRDefault="008C0A68" w:rsidP="00E41AB9">
            <w:pPr>
              <w:jc w:val="center"/>
              <w:rPr>
                <w:color w:val="000000"/>
                <w:sz w:val="20"/>
              </w:rPr>
            </w:pPr>
            <w:r>
              <w:rPr>
                <w:color w:val="000000"/>
                <w:sz w:val="20"/>
              </w:rPr>
              <w:t>AAA</w:t>
            </w:r>
          </w:p>
        </w:tc>
        <w:tc>
          <w:tcPr>
            <w:tcW w:w="413" w:type="pct"/>
            <w:tcBorders>
              <w:top w:val="single" w:sz="4" w:space="0" w:color="auto"/>
              <w:left w:val="single" w:sz="4" w:space="0" w:color="auto"/>
              <w:bottom w:val="single" w:sz="4" w:space="0" w:color="auto"/>
              <w:right w:val="single" w:sz="4" w:space="0" w:color="auto"/>
            </w:tcBorders>
            <w:vAlign w:val="center"/>
          </w:tcPr>
          <w:p w14:paraId="672A144A" w14:textId="77777777" w:rsidR="008C0A68" w:rsidRDefault="008C0A68" w:rsidP="00E41AB9">
            <w:pPr>
              <w:pStyle w:val="Default"/>
              <w:spacing w:line="256" w:lineRule="auto"/>
              <w:jc w:val="center"/>
              <w:rPr>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14:paraId="545941D5"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7F3F783E" w14:textId="77777777" w:rsidR="008C0A68" w:rsidRDefault="008C0A68" w:rsidP="00E41AB9">
            <w:pPr>
              <w:pStyle w:val="Default"/>
              <w:spacing w:line="256" w:lineRule="auto"/>
              <w:jc w:val="center"/>
              <w:rPr>
                <w:sz w:val="20"/>
                <w:szCs w:val="20"/>
                <w:lang w:val="en-US"/>
              </w:rPr>
            </w:pPr>
          </w:p>
        </w:tc>
        <w:tc>
          <w:tcPr>
            <w:tcW w:w="438" w:type="pct"/>
            <w:tcBorders>
              <w:top w:val="single" w:sz="4" w:space="0" w:color="auto"/>
              <w:left w:val="single" w:sz="4" w:space="0" w:color="auto"/>
              <w:bottom w:val="single" w:sz="4" w:space="0" w:color="auto"/>
              <w:right w:val="single" w:sz="4" w:space="0" w:color="auto"/>
            </w:tcBorders>
          </w:tcPr>
          <w:p w14:paraId="40F4E9FE" w14:textId="77777777" w:rsidR="008C0A68" w:rsidRDefault="008C0A68" w:rsidP="00E41AB9">
            <w:pPr>
              <w:pStyle w:val="Default"/>
              <w:spacing w:line="256" w:lineRule="auto"/>
              <w:jc w:val="center"/>
              <w:rPr>
                <w:sz w:val="20"/>
                <w:szCs w:val="20"/>
                <w:lang w:val="en-US"/>
              </w:rPr>
            </w:pPr>
          </w:p>
        </w:tc>
        <w:tc>
          <w:tcPr>
            <w:tcW w:w="435" w:type="pct"/>
            <w:tcBorders>
              <w:top w:val="single" w:sz="4" w:space="0" w:color="auto"/>
              <w:left w:val="single" w:sz="4" w:space="0" w:color="auto"/>
              <w:bottom w:val="single" w:sz="4" w:space="0" w:color="auto"/>
              <w:right w:val="single" w:sz="4" w:space="0" w:color="auto"/>
            </w:tcBorders>
            <w:vAlign w:val="center"/>
          </w:tcPr>
          <w:p w14:paraId="0EC19EB3" w14:textId="77777777" w:rsidR="008C0A68" w:rsidRDefault="008C0A68" w:rsidP="00E41AB9">
            <w:pPr>
              <w:pStyle w:val="Default"/>
              <w:spacing w:line="256" w:lineRule="auto"/>
              <w:jc w:val="center"/>
              <w:rPr>
                <w:sz w:val="20"/>
                <w:szCs w:val="20"/>
                <w:lang w:val="en-US"/>
              </w:rPr>
            </w:pPr>
          </w:p>
        </w:tc>
        <w:tc>
          <w:tcPr>
            <w:tcW w:w="549" w:type="pct"/>
            <w:tcBorders>
              <w:top w:val="single" w:sz="4" w:space="0" w:color="auto"/>
              <w:left w:val="single" w:sz="4" w:space="0" w:color="auto"/>
              <w:bottom w:val="single" w:sz="4" w:space="0" w:color="auto"/>
              <w:right w:val="single" w:sz="4" w:space="0" w:color="auto"/>
            </w:tcBorders>
          </w:tcPr>
          <w:p w14:paraId="34F2024F" w14:textId="77777777" w:rsidR="008C0A68" w:rsidRDefault="008C0A68" w:rsidP="00E41AB9">
            <w:pPr>
              <w:pStyle w:val="Default"/>
              <w:spacing w:line="256" w:lineRule="auto"/>
              <w:jc w:val="center"/>
              <w:rPr>
                <w:sz w:val="20"/>
                <w:szCs w:val="20"/>
                <w:lang w:val="en-US"/>
              </w:rPr>
            </w:pPr>
          </w:p>
        </w:tc>
        <w:tc>
          <w:tcPr>
            <w:tcW w:w="549" w:type="pct"/>
            <w:tcBorders>
              <w:top w:val="single" w:sz="4" w:space="0" w:color="auto"/>
              <w:left w:val="single" w:sz="4" w:space="0" w:color="auto"/>
              <w:bottom w:val="single" w:sz="4" w:space="0" w:color="auto"/>
              <w:right w:val="single" w:sz="4" w:space="0" w:color="auto"/>
            </w:tcBorders>
          </w:tcPr>
          <w:p w14:paraId="434F5CE7" w14:textId="77777777" w:rsidR="008C0A68" w:rsidRDefault="008C0A68" w:rsidP="00E41AB9">
            <w:pPr>
              <w:pStyle w:val="Default"/>
              <w:spacing w:line="256" w:lineRule="auto"/>
              <w:jc w:val="center"/>
              <w:rPr>
                <w:sz w:val="20"/>
                <w:szCs w:val="20"/>
                <w:lang w:val="en-US"/>
              </w:rPr>
            </w:pPr>
          </w:p>
        </w:tc>
      </w:tr>
      <w:tr w:rsidR="008C0A68" w14:paraId="36493D8C"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BDCD21"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21731B65" w14:textId="77777777" w:rsidR="008C0A68" w:rsidRDefault="008C0A68" w:rsidP="00E41AB9">
            <w:pPr>
              <w:jc w:val="center"/>
              <w:rPr>
                <w:color w:val="000000"/>
                <w:sz w:val="20"/>
              </w:rPr>
            </w:pPr>
            <w:r>
              <w:rPr>
                <w:color w:val="000000"/>
                <w:sz w:val="20"/>
              </w:rPr>
              <w:t>AA+</w:t>
            </w:r>
          </w:p>
        </w:tc>
        <w:tc>
          <w:tcPr>
            <w:tcW w:w="354" w:type="pct"/>
            <w:tcBorders>
              <w:top w:val="single" w:sz="4" w:space="0" w:color="auto"/>
              <w:left w:val="single" w:sz="4" w:space="0" w:color="auto"/>
              <w:bottom w:val="single" w:sz="4" w:space="0" w:color="auto"/>
              <w:right w:val="single" w:sz="4" w:space="0" w:color="auto"/>
            </w:tcBorders>
            <w:vAlign w:val="center"/>
            <w:hideMark/>
          </w:tcPr>
          <w:p w14:paraId="57EEB234" w14:textId="77777777" w:rsidR="008C0A68" w:rsidRDefault="008C0A68" w:rsidP="00E41AB9">
            <w:pPr>
              <w:jc w:val="center"/>
              <w:rPr>
                <w:color w:val="000000"/>
                <w:sz w:val="20"/>
              </w:rPr>
            </w:pPr>
            <w:r>
              <w:rPr>
                <w:color w:val="000000"/>
                <w:sz w:val="20"/>
              </w:rPr>
              <w:t>Aa1</w:t>
            </w:r>
          </w:p>
        </w:tc>
        <w:tc>
          <w:tcPr>
            <w:tcW w:w="369" w:type="pct"/>
            <w:tcBorders>
              <w:top w:val="single" w:sz="4" w:space="0" w:color="auto"/>
              <w:left w:val="single" w:sz="4" w:space="0" w:color="auto"/>
              <w:bottom w:val="single" w:sz="4" w:space="0" w:color="auto"/>
              <w:right w:val="single" w:sz="4" w:space="0" w:color="auto"/>
            </w:tcBorders>
            <w:vAlign w:val="center"/>
            <w:hideMark/>
          </w:tcPr>
          <w:p w14:paraId="7B375DC9" w14:textId="77777777" w:rsidR="008C0A68" w:rsidRDefault="008C0A68" w:rsidP="00E41AB9">
            <w:pPr>
              <w:jc w:val="center"/>
              <w:rPr>
                <w:color w:val="000000"/>
                <w:sz w:val="20"/>
              </w:rPr>
            </w:pPr>
            <w:r>
              <w:rPr>
                <w:color w:val="000000"/>
                <w:sz w:val="20"/>
              </w:rPr>
              <w:t>AA+</w:t>
            </w:r>
          </w:p>
        </w:tc>
        <w:tc>
          <w:tcPr>
            <w:tcW w:w="413" w:type="pct"/>
            <w:tcBorders>
              <w:top w:val="single" w:sz="4" w:space="0" w:color="auto"/>
              <w:left w:val="single" w:sz="4" w:space="0" w:color="auto"/>
              <w:bottom w:val="single" w:sz="4" w:space="0" w:color="auto"/>
              <w:right w:val="single" w:sz="4" w:space="0" w:color="auto"/>
            </w:tcBorders>
            <w:vAlign w:val="center"/>
          </w:tcPr>
          <w:p w14:paraId="1615F39D" w14:textId="77777777" w:rsidR="008C0A68" w:rsidRDefault="008C0A68" w:rsidP="00E41AB9">
            <w:pPr>
              <w:pStyle w:val="Default"/>
              <w:spacing w:line="256" w:lineRule="auto"/>
              <w:jc w:val="center"/>
              <w:rPr>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14:paraId="632F90CB"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2D2B5E1"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5898556C"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67120485"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39445EEC"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0EFA6033" w14:textId="77777777" w:rsidR="008C0A68" w:rsidRDefault="008C0A68" w:rsidP="00E41AB9">
            <w:pPr>
              <w:pStyle w:val="Default"/>
              <w:spacing w:line="256" w:lineRule="auto"/>
              <w:jc w:val="center"/>
              <w:rPr>
                <w:sz w:val="20"/>
                <w:szCs w:val="20"/>
              </w:rPr>
            </w:pPr>
          </w:p>
        </w:tc>
      </w:tr>
      <w:tr w:rsidR="008C0A68" w14:paraId="4B5283DC"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CB0677"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31C3DE92" w14:textId="77777777" w:rsidR="008C0A68" w:rsidRDefault="008C0A68" w:rsidP="00E41AB9">
            <w:pPr>
              <w:jc w:val="center"/>
              <w:rPr>
                <w:color w:val="000000"/>
                <w:sz w:val="20"/>
              </w:rPr>
            </w:pPr>
            <w:r>
              <w:rPr>
                <w:color w:val="000000"/>
                <w:sz w:val="20"/>
              </w:rPr>
              <w:t>AA</w:t>
            </w:r>
          </w:p>
        </w:tc>
        <w:tc>
          <w:tcPr>
            <w:tcW w:w="354" w:type="pct"/>
            <w:tcBorders>
              <w:top w:val="single" w:sz="4" w:space="0" w:color="auto"/>
              <w:left w:val="single" w:sz="4" w:space="0" w:color="auto"/>
              <w:bottom w:val="single" w:sz="4" w:space="0" w:color="auto"/>
              <w:right w:val="single" w:sz="4" w:space="0" w:color="auto"/>
            </w:tcBorders>
            <w:vAlign w:val="center"/>
            <w:hideMark/>
          </w:tcPr>
          <w:p w14:paraId="423E4AA0" w14:textId="77777777" w:rsidR="008C0A68" w:rsidRDefault="008C0A68" w:rsidP="00E41AB9">
            <w:pPr>
              <w:jc w:val="center"/>
              <w:rPr>
                <w:color w:val="000000"/>
                <w:sz w:val="20"/>
              </w:rPr>
            </w:pPr>
            <w:r>
              <w:rPr>
                <w:color w:val="000000"/>
                <w:sz w:val="20"/>
              </w:rPr>
              <w:t>Aa2</w:t>
            </w:r>
          </w:p>
        </w:tc>
        <w:tc>
          <w:tcPr>
            <w:tcW w:w="369" w:type="pct"/>
            <w:tcBorders>
              <w:top w:val="single" w:sz="4" w:space="0" w:color="auto"/>
              <w:left w:val="single" w:sz="4" w:space="0" w:color="auto"/>
              <w:bottom w:val="single" w:sz="4" w:space="0" w:color="auto"/>
              <w:right w:val="single" w:sz="4" w:space="0" w:color="auto"/>
            </w:tcBorders>
            <w:vAlign w:val="center"/>
            <w:hideMark/>
          </w:tcPr>
          <w:p w14:paraId="6AC1AFD1" w14:textId="77777777" w:rsidR="008C0A68" w:rsidRDefault="008C0A68" w:rsidP="00E41AB9">
            <w:pPr>
              <w:jc w:val="center"/>
              <w:rPr>
                <w:color w:val="000000"/>
                <w:sz w:val="20"/>
              </w:rPr>
            </w:pPr>
            <w:r>
              <w:rPr>
                <w:color w:val="000000"/>
                <w:sz w:val="20"/>
              </w:rPr>
              <w:t>AA</w:t>
            </w:r>
          </w:p>
        </w:tc>
        <w:tc>
          <w:tcPr>
            <w:tcW w:w="413" w:type="pct"/>
            <w:tcBorders>
              <w:top w:val="single" w:sz="4" w:space="0" w:color="auto"/>
              <w:left w:val="single" w:sz="4" w:space="0" w:color="auto"/>
              <w:bottom w:val="single" w:sz="4" w:space="0" w:color="auto"/>
              <w:right w:val="single" w:sz="4" w:space="0" w:color="auto"/>
            </w:tcBorders>
            <w:vAlign w:val="center"/>
          </w:tcPr>
          <w:p w14:paraId="2382E102" w14:textId="77777777" w:rsidR="008C0A68" w:rsidRDefault="008C0A68" w:rsidP="00E41AB9">
            <w:pPr>
              <w:pStyle w:val="Default"/>
              <w:spacing w:line="256" w:lineRule="auto"/>
              <w:jc w:val="center"/>
              <w:rPr>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14:paraId="6EFEDBC5"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424210CC"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7B8B423D"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28792016"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49D0C4A2"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6914501E" w14:textId="77777777" w:rsidR="008C0A68" w:rsidRDefault="008C0A68" w:rsidP="00E41AB9">
            <w:pPr>
              <w:pStyle w:val="Default"/>
              <w:spacing w:line="256" w:lineRule="auto"/>
              <w:jc w:val="center"/>
              <w:rPr>
                <w:sz w:val="20"/>
                <w:szCs w:val="20"/>
              </w:rPr>
            </w:pPr>
          </w:p>
        </w:tc>
      </w:tr>
      <w:tr w:rsidR="008C0A68" w14:paraId="5A357D6B"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997D84"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16710EB1" w14:textId="77777777" w:rsidR="008C0A68" w:rsidRDefault="008C0A68" w:rsidP="00E41AB9">
            <w:pPr>
              <w:jc w:val="center"/>
              <w:rPr>
                <w:color w:val="000000"/>
                <w:sz w:val="20"/>
              </w:rPr>
            </w:pPr>
            <w:r>
              <w:rPr>
                <w:color w:val="000000"/>
                <w:sz w:val="20"/>
              </w:rPr>
              <w:t>AA-</w:t>
            </w:r>
          </w:p>
        </w:tc>
        <w:tc>
          <w:tcPr>
            <w:tcW w:w="354" w:type="pct"/>
            <w:tcBorders>
              <w:top w:val="single" w:sz="4" w:space="0" w:color="auto"/>
              <w:left w:val="single" w:sz="4" w:space="0" w:color="auto"/>
              <w:bottom w:val="single" w:sz="4" w:space="0" w:color="auto"/>
              <w:right w:val="single" w:sz="4" w:space="0" w:color="auto"/>
            </w:tcBorders>
            <w:vAlign w:val="center"/>
            <w:hideMark/>
          </w:tcPr>
          <w:p w14:paraId="0A4D58B2" w14:textId="77777777" w:rsidR="008C0A68" w:rsidRDefault="008C0A68" w:rsidP="00E41AB9">
            <w:pPr>
              <w:jc w:val="center"/>
              <w:rPr>
                <w:color w:val="000000"/>
                <w:sz w:val="20"/>
              </w:rPr>
            </w:pPr>
            <w:r>
              <w:rPr>
                <w:color w:val="000000"/>
                <w:sz w:val="20"/>
              </w:rPr>
              <w:t>Aa3</w:t>
            </w:r>
          </w:p>
        </w:tc>
        <w:tc>
          <w:tcPr>
            <w:tcW w:w="369" w:type="pct"/>
            <w:tcBorders>
              <w:top w:val="single" w:sz="4" w:space="0" w:color="auto"/>
              <w:left w:val="single" w:sz="4" w:space="0" w:color="auto"/>
              <w:bottom w:val="single" w:sz="4" w:space="0" w:color="auto"/>
              <w:right w:val="single" w:sz="4" w:space="0" w:color="auto"/>
            </w:tcBorders>
            <w:vAlign w:val="center"/>
            <w:hideMark/>
          </w:tcPr>
          <w:p w14:paraId="54506793" w14:textId="77777777" w:rsidR="008C0A68" w:rsidRDefault="008C0A68" w:rsidP="00E41AB9">
            <w:pPr>
              <w:jc w:val="center"/>
              <w:rPr>
                <w:color w:val="000000"/>
                <w:sz w:val="20"/>
              </w:rPr>
            </w:pPr>
            <w:r>
              <w:rPr>
                <w:color w:val="000000"/>
                <w:sz w:val="20"/>
              </w:rPr>
              <w:t>AA-</w:t>
            </w:r>
          </w:p>
        </w:tc>
        <w:tc>
          <w:tcPr>
            <w:tcW w:w="413" w:type="pct"/>
            <w:tcBorders>
              <w:top w:val="single" w:sz="4" w:space="0" w:color="auto"/>
              <w:left w:val="single" w:sz="4" w:space="0" w:color="auto"/>
              <w:bottom w:val="single" w:sz="4" w:space="0" w:color="auto"/>
              <w:right w:val="single" w:sz="4" w:space="0" w:color="auto"/>
            </w:tcBorders>
            <w:vAlign w:val="center"/>
          </w:tcPr>
          <w:p w14:paraId="2BA2541C" w14:textId="77777777" w:rsidR="008C0A68" w:rsidRDefault="008C0A68" w:rsidP="00E41AB9">
            <w:pPr>
              <w:pStyle w:val="Default"/>
              <w:spacing w:line="256" w:lineRule="auto"/>
              <w:jc w:val="center"/>
              <w:rPr>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14:paraId="0D818A9F"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DAF9E13"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15500E1B"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3B39D50F"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34AF8395"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4C57AA85" w14:textId="77777777" w:rsidR="008C0A68" w:rsidRDefault="008C0A68" w:rsidP="00E41AB9">
            <w:pPr>
              <w:pStyle w:val="Default"/>
              <w:spacing w:line="256" w:lineRule="auto"/>
              <w:jc w:val="center"/>
              <w:rPr>
                <w:sz w:val="20"/>
                <w:szCs w:val="20"/>
              </w:rPr>
            </w:pPr>
          </w:p>
        </w:tc>
      </w:tr>
      <w:tr w:rsidR="008C0A68" w14:paraId="3D9901D1"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94830"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51F33CDE" w14:textId="77777777" w:rsidR="008C0A68" w:rsidRDefault="008C0A68" w:rsidP="00E41AB9">
            <w:pPr>
              <w:jc w:val="center"/>
              <w:rPr>
                <w:color w:val="000000"/>
                <w:sz w:val="20"/>
              </w:rPr>
            </w:pPr>
            <w:r>
              <w:rPr>
                <w:color w:val="000000"/>
                <w:sz w:val="20"/>
              </w:rPr>
              <w:t>A+</w:t>
            </w:r>
          </w:p>
        </w:tc>
        <w:tc>
          <w:tcPr>
            <w:tcW w:w="354" w:type="pct"/>
            <w:tcBorders>
              <w:top w:val="single" w:sz="4" w:space="0" w:color="auto"/>
              <w:left w:val="single" w:sz="4" w:space="0" w:color="auto"/>
              <w:bottom w:val="single" w:sz="4" w:space="0" w:color="auto"/>
              <w:right w:val="single" w:sz="4" w:space="0" w:color="auto"/>
            </w:tcBorders>
            <w:vAlign w:val="center"/>
            <w:hideMark/>
          </w:tcPr>
          <w:p w14:paraId="7B72EBE8" w14:textId="77777777" w:rsidR="008C0A68" w:rsidRDefault="008C0A68" w:rsidP="00E41AB9">
            <w:pPr>
              <w:jc w:val="center"/>
              <w:rPr>
                <w:color w:val="000000"/>
                <w:sz w:val="20"/>
              </w:rPr>
            </w:pPr>
            <w:r>
              <w:rPr>
                <w:color w:val="000000"/>
                <w:sz w:val="20"/>
              </w:rPr>
              <w:t>A1</w:t>
            </w:r>
          </w:p>
        </w:tc>
        <w:tc>
          <w:tcPr>
            <w:tcW w:w="369" w:type="pct"/>
            <w:tcBorders>
              <w:top w:val="single" w:sz="4" w:space="0" w:color="auto"/>
              <w:left w:val="single" w:sz="4" w:space="0" w:color="auto"/>
              <w:bottom w:val="single" w:sz="4" w:space="0" w:color="auto"/>
              <w:right w:val="single" w:sz="4" w:space="0" w:color="auto"/>
            </w:tcBorders>
            <w:vAlign w:val="center"/>
            <w:hideMark/>
          </w:tcPr>
          <w:p w14:paraId="02D12CA1" w14:textId="77777777" w:rsidR="008C0A68" w:rsidRDefault="008C0A68" w:rsidP="00E41AB9">
            <w:pPr>
              <w:jc w:val="center"/>
              <w:rPr>
                <w:color w:val="000000"/>
                <w:sz w:val="20"/>
              </w:rPr>
            </w:pPr>
            <w:r>
              <w:rPr>
                <w:color w:val="000000"/>
                <w:sz w:val="20"/>
              </w:rPr>
              <w:t>A+</w:t>
            </w:r>
          </w:p>
        </w:tc>
        <w:tc>
          <w:tcPr>
            <w:tcW w:w="413" w:type="pct"/>
            <w:tcBorders>
              <w:top w:val="single" w:sz="4" w:space="0" w:color="auto"/>
              <w:left w:val="single" w:sz="4" w:space="0" w:color="auto"/>
              <w:bottom w:val="single" w:sz="4" w:space="0" w:color="auto"/>
              <w:right w:val="single" w:sz="4" w:space="0" w:color="auto"/>
            </w:tcBorders>
            <w:vAlign w:val="center"/>
          </w:tcPr>
          <w:p w14:paraId="2DA9CE04" w14:textId="77777777" w:rsidR="008C0A68" w:rsidRDefault="008C0A68" w:rsidP="00E41AB9">
            <w:pPr>
              <w:pStyle w:val="Default"/>
              <w:spacing w:line="256" w:lineRule="auto"/>
              <w:jc w:val="center"/>
              <w:rPr>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14:paraId="66514BC4"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57D486A7"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0F3E9674"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6F1E9530"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034E435C"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6C7AC9B4" w14:textId="77777777" w:rsidR="008C0A68" w:rsidRDefault="008C0A68" w:rsidP="00E41AB9">
            <w:pPr>
              <w:pStyle w:val="Default"/>
              <w:spacing w:line="256" w:lineRule="auto"/>
              <w:jc w:val="center"/>
              <w:rPr>
                <w:sz w:val="20"/>
                <w:szCs w:val="20"/>
              </w:rPr>
            </w:pPr>
          </w:p>
        </w:tc>
      </w:tr>
      <w:tr w:rsidR="008C0A68" w14:paraId="1D3616A9"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79069"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1B9BCBB0" w14:textId="77777777" w:rsidR="008C0A68" w:rsidRDefault="008C0A68" w:rsidP="00E41AB9">
            <w:pPr>
              <w:jc w:val="center"/>
              <w:rPr>
                <w:color w:val="000000"/>
                <w:sz w:val="20"/>
              </w:rPr>
            </w:pPr>
            <w:r>
              <w:rPr>
                <w:color w:val="000000"/>
                <w:sz w:val="20"/>
              </w:rPr>
              <w:t>A</w:t>
            </w:r>
          </w:p>
        </w:tc>
        <w:tc>
          <w:tcPr>
            <w:tcW w:w="354" w:type="pct"/>
            <w:tcBorders>
              <w:top w:val="single" w:sz="4" w:space="0" w:color="auto"/>
              <w:left w:val="single" w:sz="4" w:space="0" w:color="auto"/>
              <w:bottom w:val="single" w:sz="4" w:space="0" w:color="auto"/>
              <w:right w:val="single" w:sz="4" w:space="0" w:color="auto"/>
            </w:tcBorders>
            <w:vAlign w:val="center"/>
            <w:hideMark/>
          </w:tcPr>
          <w:p w14:paraId="42E1D39D" w14:textId="77777777" w:rsidR="008C0A68" w:rsidRDefault="008C0A68" w:rsidP="00E41AB9">
            <w:pPr>
              <w:jc w:val="center"/>
              <w:rPr>
                <w:color w:val="000000"/>
                <w:sz w:val="20"/>
              </w:rPr>
            </w:pPr>
            <w:r>
              <w:rPr>
                <w:color w:val="000000"/>
                <w:sz w:val="20"/>
              </w:rPr>
              <w:t>A1</w:t>
            </w:r>
          </w:p>
        </w:tc>
        <w:tc>
          <w:tcPr>
            <w:tcW w:w="369" w:type="pct"/>
            <w:tcBorders>
              <w:top w:val="single" w:sz="4" w:space="0" w:color="auto"/>
              <w:left w:val="single" w:sz="4" w:space="0" w:color="auto"/>
              <w:bottom w:val="single" w:sz="4" w:space="0" w:color="auto"/>
              <w:right w:val="single" w:sz="4" w:space="0" w:color="auto"/>
            </w:tcBorders>
            <w:vAlign w:val="center"/>
            <w:hideMark/>
          </w:tcPr>
          <w:p w14:paraId="6C7FFC1C" w14:textId="77777777" w:rsidR="008C0A68" w:rsidRDefault="008C0A68" w:rsidP="00E41AB9">
            <w:pPr>
              <w:jc w:val="center"/>
              <w:rPr>
                <w:color w:val="000000"/>
                <w:sz w:val="20"/>
              </w:rPr>
            </w:pPr>
            <w:r>
              <w:rPr>
                <w:color w:val="000000"/>
                <w:sz w:val="20"/>
              </w:rPr>
              <w:t>A</w:t>
            </w:r>
          </w:p>
        </w:tc>
        <w:tc>
          <w:tcPr>
            <w:tcW w:w="413" w:type="pct"/>
            <w:tcBorders>
              <w:top w:val="single" w:sz="4" w:space="0" w:color="auto"/>
              <w:left w:val="single" w:sz="4" w:space="0" w:color="auto"/>
              <w:bottom w:val="single" w:sz="4" w:space="0" w:color="auto"/>
              <w:right w:val="single" w:sz="4" w:space="0" w:color="auto"/>
            </w:tcBorders>
            <w:vAlign w:val="center"/>
          </w:tcPr>
          <w:p w14:paraId="04F7A25B" w14:textId="77777777" w:rsidR="008C0A68" w:rsidRDefault="008C0A68" w:rsidP="00E41AB9">
            <w:pPr>
              <w:pStyle w:val="Default"/>
              <w:spacing w:line="256" w:lineRule="auto"/>
              <w:jc w:val="center"/>
              <w:rPr>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14:paraId="2B1C2AFE"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72AA1302"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01A83189"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2C810759"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6D03AC1C"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40EE9E27" w14:textId="77777777" w:rsidR="008C0A68" w:rsidRDefault="008C0A68" w:rsidP="00E41AB9">
            <w:pPr>
              <w:pStyle w:val="Default"/>
              <w:spacing w:line="256" w:lineRule="auto"/>
              <w:jc w:val="center"/>
              <w:rPr>
                <w:sz w:val="20"/>
                <w:szCs w:val="20"/>
              </w:rPr>
            </w:pPr>
          </w:p>
        </w:tc>
      </w:tr>
      <w:tr w:rsidR="008C0A68" w14:paraId="2E8FE1DD"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1018BA"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67916E69" w14:textId="77777777" w:rsidR="008C0A68" w:rsidRDefault="008C0A68" w:rsidP="00E41AB9">
            <w:pPr>
              <w:jc w:val="center"/>
              <w:rPr>
                <w:color w:val="000000"/>
                <w:sz w:val="20"/>
              </w:rPr>
            </w:pPr>
            <w:r>
              <w:rPr>
                <w:color w:val="000000"/>
                <w:sz w:val="20"/>
              </w:rPr>
              <w:t>A-</w:t>
            </w:r>
          </w:p>
        </w:tc>
        <w:tc>
          <w:tcPr>
            <w:tcW w:w="354" w:type="pct"/>
            <w:tcBorders>
              <w:top w:val="single" w:sz="4" w:space="0" w:color="auto"/>
              <w:left w:val="single" w:sz="4" w:space="0" w:color="auto"/>
              <w:bottom w:val="single" w:sz="4" w:space="0" w:color="auto"/>
              <w:right w:val="single" w:sz="4" w:space="0" w:color="auto"/>
            </w:tcBorders>
            <w:vAlign w:val="center"/>
            <w:hideMark/>
          </w:tcPr>
          <w:p w14:paraId="51459FFD" w14:textId="77777777" w:rsidR="008C0A68" w:rsidRDefault="008C0A68" w:rsidP="00E41AB9">
            <w:pPr>
              <w:jc w:val="center"/>
              <w:rPr>
                <w:color w:val="000000"/>
                <w:sz w:val="20"/>
              </w:rPr>
            </w:pPr>
            <w:r>
              <w:rPr>
                <w:color w:val="000000"/>
                <w:sz w:val="20"/>
              </w:rPr>
              <w:t>A3</w:t>
            </w:r>
          </w:p>
        </w:tc>
        <w:tc>
          <w:tcPr>
            <w:tcW w:w="369" w:type="pct"/>
            <w:tcBorders>
              <w:top w:val="single" w:sz="4" w:space="0" w:color="auto"/>
              <w:left w:val="single" w:sz="4" w:space="0" w:color="auto"/>
              <w:bottom w:val="single" w:sz="4" w:space="0" w:color="auto"/>
              <w:right w:val="single" w:sz="4" w:space="0" w:color="auto"/>
            </w:tcBorders>
            <w:vAlign w:val="center"/>
            <w:hideMark/>
          </w:tcPr>
          <w:p w14:paraId="771791B0" w14:textId="77777777" w:rsidR="008C0A68" w:rsidRDefault="008C0A68" w:rsidP="00E41AB9">
            <w:pPr>
              <w:jc w:val="center"/>
              <w:rPr>
                <w:color w:val="000000"/>
                <w:sz w:val="20"/>
              </w:rPr>
            </w:pPr>
            <w:r>
              <w:rPr>
                <w:color w:val="000000"/>
                <w:sz w:val="20"/>
              </w:rPr>
              <w:t>A-</w:t>
            </w:r>
          </w:p>
        </w:tc>
        <w:tc>
          <w:tcPr>
            <w:tcW w:w="413" w:type="pct"/>
            <w:tcBorders>
              <w:top w:val="single" w:sz="4" w:space="0" w:color="auto"/>
              <w:left w:val="single" w:sz="4" w:space="0" w:color="auto"/>
              <w:bottom w:val="single" w:sz="4" w:space="0" w:color="auto"/>
              <w:right w:val="single" w:sz="4" w:space="0" w:color="auto"/>
            </w:tcBorders>
            <w:vAlign w:val="center"/>
          </w:tcPr>
          <w:p w14:paraId="5E3CF28A" w14:textId="77777777" w:rsidR="008C0A68" w:rsidRDefault="008C0A68" w:rsidP="00E41AB9">
            <w:pPr>
              <w:pStyle w:val="Default"/>
              <w:spacing w:line="256" w:lineRule="auto"/>
              <w:jc w:val="center"/>
              <w:rPr>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14:paraId="63317DA9"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7CAE9AF3"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517B6552"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05EADD2C"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1E33A76B"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3EAA83D2" w14:textId="77777777" w:rsidR="008C0A68" w:rsidRDefault="008C0A68" w:rsidP="00E41AB9">
            <w:pPr>
              <w:pStyle w:val="Default"/>
              <w:spacing w:line="256" w:lineRule="auto"/>
              <w:jc w:val="center"/>
              <w:rPr>
                <w:sz w:val="20"/>
                <w:szCs w:val="20"/>
              </w:rPr>
            </w:pPr>
          </w:p>
        </w:tc>
      </w:tr>
      <w:tr w:rsidR="008C0A68" w14:paraId="1F3128C8"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89534"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6FE0D563" w14:textId="77777777" w:rsidR="008C0A68" w:rsidRDefault="008C0A68" w:rsidP="00E41AB9">
            <w:pPr>
              <w:pStyle w:val="Default"/>
              <w:spacing w:line="256" w:lineRule="auto"/>
              <w:jc w:val="center"/>
              <w:rPr>
                <w:sz w:val="20"/>
                <w:szCs w:val="20"/>
                <w:lang w:val="en-US"/>
              </w:rPr>
            </w:pPr>
            <w:r>
              <w:rPr>
                <w:sz w:val="20"/>
                <w:szCs w:val="20"/>
              </w:rPr>
              <w:t>BBB</w:t>
            </w:r>
            <w:r>
              <w:rPr>
                <w:sz w:val="20"/>
                <w:szCs w:val="20"/>
                <w:lang w:val="en-US"/>
              </w:rPr>
              <w:t>+</w:t>
            </w:r>
          </w:p>
        </w:tc>
        <w:tc>
          <w:tcPr>
            <w:tcW w:w="354" w:type="pct"/>
            <w:tcBorders>
              <w:top w:val="single" w:sz="4" w:space="0" w:color="auto"/>
              <w:left w:val="single" w:sz="4" w:space="0" w:color="auto"/>
              <w:bottom w:val="single" w:sz="4" w:space="0" w:color="auto"/>
              <w:right w:val="single" w:sz="4" w:space="0" w:color="auto"/>
            </w:tcBorders>
            <w:vAlign w:val="center"/>
            <w:hideMark/>
          </w:tcPr>
          <w:p w14:paraId="1F672D94" w14:textId="77777777" w:rsidR="008C0A68" w:rsidRDefault="008C0A68" w:rsidP="00E41AB9">
            <w:pPr>
              <w:pStyle w:val="Default"/>
              <w:spacing w:line="256" w:lineRule="auto"/>
              <w:jc w:val="center"/>
              <w:rPr>
                <w:sz w:val="20"/>
                <w:szCs w:val="20"/>
              </w:rPr>
            </w:pPr>
            <w:r>
              <w:rPr>
                <w:sz w:val="20"/>
                <w:szCs w:val="20"/>
              </w:rPr>
              <w:t>Baa</w:t>
            </w:r>
            <w:r>
              <w:rPr>
                <w:sz w:val="20"/>
                <w:szCs w:val="20"/>
                <w:lang w:val="en-US"/>
              </w:rPr>
              <w:t>1</w:t>
            </w:r>
          </w:p>
        </w:tc>
        <w:tc>
          <w:tcPr>
            <w:tcW w:w="369" w:type="pct"/>
            <w:tcBorders>
              <w:top w:val="single" w:sz="4" w:space="0" w:color="auto"/>
              <w:left w:val="single" w:sz="4" w:space="0" w:color="auto"/>
              <w:bottom w:val="single" w:sz="4" w:space="0" w:color="auto"/>
              <w:right w:val="single" w:sz="4" w:space="0" w:color="auto"/>
            </w:tcBorders>
            <w:vAlign w:val="center"/>
            <w:hideMark/>
          </w:tcPr>
          <w:p w14:paraId="544C4EEC" w14:textId="77777777" w:rsidR="008C0A68" w:rsidRDefault="008C0A68" w:rsidP="00E41AB9">
            <w:pPr>
              <w:pStyle w:val="Default"/>
              <w:spacing w:line="256" w:lineRule="auto"/>
              <w:jc w:val="center"/>
              <w:rPr>
                <w:sz w:val="20"/>
                <w:szCs w:val="20"/>
                <w:lang w:val="en-US"/>
              </w:rPr>
            </w:pPr>
            <w:r>
              <w:rPr>
                <w:sz w:val="20"/>
                <w:szCs w:val="20"/>
              </w:rPr>
              <w:t>BBB</w:t>
            </w:r>
            <w:r>
              <w:rPr>
                <w:sz w:val="20"/>
                <w:szCs w:val="20"/>
                <w:lang w:val="en-US"/>
              </w:rPr>
              <w:t>+</w:t>
            </w:r>
          </w:p>
        </w:tc>
        <w:tc>
          <w:tcPr>
            <w:tcW w:w="413" w:type="pct"/>
            <w:tcBorders>
              <w:top w:val="single" w:sz="4" w:space="0" w:color="auto"/>
              <w:left w:val="single" w:sz="4" w:space="0" w:color="auto"/>
              <w:bottom w:val="single" w:sz="4" w:space="0" w:color="auto"/>
              <w:right w:val="single" w:sz="4" w:space="0" w:color="auto"/>
            </w:tcBorders>
            <w:vAlign w:val="center"/>
          </w:tcPr>
          <w:p w14:paraId="0E7C8A81" w14:textId="77777777" w:rsidR="008C0A68" w:rsidRDefault="008C0A68" w:rsidP="00E41AB9">
            <w:pPr>
              <w:pStyle w:val="Default"/>
              <w:spacing w:line="256" w:lineRule="auto"/>
              <w:jc w:val="center"/>
              <w:rPr>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14:paraId="5ADA3760"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008B46C7"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7A26FF28"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45178A95"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332C4E78"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45CB315A" w14:textId="77777777" w:rsidR="008C0A68" w:rsidRDefault="008C0A68" w:rsidP="00E41AB9">
            <w:pPr>
              <w:pStyle w:val="Default"/>
              <w:spacing w:line="256" w:lineRule="auto"/>
              <w:jc w:val="center"/>
              <w:rPr>
                <w:sz w:val="20"/>
                <w:szCs w:val="20"/>
              </w:rPr>
            </w:pPr>
          </w:p>
        </w:tc>
      </w:tr>
      <w:tr w:rsidR="008C0A68" w14:paraId="0E891D53"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F64764"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721D8CC9" w14:textId="77777777" w:rsidR="008C0A68" w:rsidRDefault="008C0A68" w:rsidP="00E41AB9">
            <w:pPr>
              <w:pStyle w:val="Default"/>
              <w:spacing w:line="256" w:lineRule="auto"/>
              <w:jc w:val="center"/>
              <w:rPr>
                <w:sz w:val="20"/>
                <w:szCs w:val="20"/>
                <w:lang w:val="en-US"/>
              </w:rPr>
            </w:pPr>
            <w:r>
              <w:rPr>
                <w:sz w:val="20"/>
                <w:szCs w:val="20"/>
              </w:rPr>
              <w:t>BBB</w:t>
            </w:r>
          </w:p>
        </w:tc>
        <w:tc>
          <w:tcPr>
            <w:tcW w:w="354" w:type="pct"/>
            <w:tcBorders>
              <w:top w:val="single" w:sz="4" w:space="0" w:color="auto"/>
              <w:left w:val="single" w:sz="4" w:space="0" w:color="auto"/>
              <w:bottom w:val="single" w:sz="4" w:space="0" w:color="auto"/>
              <w:right w:val="single" w:sz="4" w:space="0" w:color="auto"/>
            </w:tcBorders>
            <w:vAlign w:val="center"/>
            <w:hideMark/>
          </w:tcPr>
          <w:p w14:paraId="72AEE378" w14:textId="77777777" w:rsidR="008C0A68" w:rsidRDefault="008C0A68" w:rsidP="00E41AB9">
            <w:pPr>
              <w:pStyle w:val="Default"/>
              <w:spacing w:line="256" w:lineRule="auto"/>
              <w:jc w:val="center"/>
              <w:rPr>
                <w:sz w:val="20"/>
                <w:szCs w:val="20"/>
              </w:rPr>
            </w:pPr>
            <w:r>
              <w:rPr>
                <w:sz w:val="20"/>
                <w:szCs w:val="20"/>
              </w:rPr>
              <w:t>Baa2</w:t>
            </w:r>
          </w:p>
        </w:tc>
        <w:tc>
          <w:tcPr>
            <w:tcW w:w="369" w:type="pct"/>
            <w:tcBorders>
              <w:top w:val="single" w:sz="4" w:space="0" w:color="auto"/>
              <w:left w:val="single" w:sz="4" w:space="0" w:color="auto"/>
              <w:bottom w:val="single" w:sz="4" w:space="0" w:color="auto"/>
              <w:right w:val="single" w:sz="4" w:space="0" w:color="auto"/>
            </w:tcBorders>
            <w:vAlign w:val="center"/>
            <w:hideMark/>
          </w:tcPr>
          <w:p w14:paraId="3A595487" w14:textId="77777777" w:rsidR="008C0A68" w:rsidRDefault="008C0A68" w:rsidP="00E41AB9">
            <w:pPr>
              <w:pStyle w:val="Default"/>
              <w:spacing w:line="256" w:lineRule="auto"/>
              <w:jc w:val="center"/>
              <w:rPr>
                <w:sz w:val="20"/>
                <w:szCs w:val="20"/>
                <w:lang w:val="en-US"/>
              </w:rPr>
            </w:pPr>
            <w:r>
              <w:rPr>
                <w:sz w:val="20"/>
                <w:szCs w:val="20"/>
              </w:rPr>
              <w:t>BBB</w:t>
            </w:r>
          </w:p>
        </w:tc>
        <w:tc>
          <w:tcPr>
            <w:tcW w:w="413" w:type="pct"/>
            <w:tcBorders>
              <w:top w:val="single" w:sz="4" w:space="0" w:color="auto"/>
              <w:left w:val="single" w:sz="4" w:space="0" w:color="auto"/>
              <w:bottom w:val="single" w:sz="4" w:space="0" w:color="auto"/>
              <w:right w:val="single" w:sz="4" w:space="0" w:color="auto"/>
            </w:tcBorders>
            <w:vAlign w:val="center"/>
          </w:tcPr>
          <w:p w14:paraId="100C821B" w14:textId="77777777" w:rsidR="008C0A68" w:rsidRDefault="008C0A68" w:rsidP="00E41AB9">
            <w:pPr>
              <w:pStyle w:val="Default"/>
              <w:spacing w:line="256" w:lineRule="auto"/>
              <w:jc w:val="center"/>
              <w:rPr>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14:paraId="4AE80F17"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4397B18F" w14:textId="77777777" w:rsidR="008C0A68" w:rsidRDefault="008C0A68" w:rsidP="00E41AB9">
            <w:pPr>
              <w:pStyle w:val="Default"/>
              <w:spacing w:line="256" w:lineRule="auto"/>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tcPr>
          <w:p w14:paraId="2D838A60" w14:textId="77777777" w:rsidR="008C0A68" w:rsidRDefault="008C0A68" w:rsidP="00E41AB9">
            <w:pPr>
              <w:pStyle w:val="Default"/>
              <w:spacing w:line="256" w:lineRule="auto"/>
              <w:jc w:val="center"/>
              <w:rPr>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2A604D08"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4B7802AC"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tcPr>
          <w:p w14:paraId="560B675C" w14:textId="77777777" w:rsidR="008C0A68" w:rsidRDefault="008C0A68" w:rsidP="00E41AB9">
            <w:pPr>
              <w:pStyle w:val="Default"/>
              <w:spacing w:line="256" w:lineRule="auto"/>
              <w:jc w:val="center"/>
              <w:rPr>
                <w:sz w:val="20"/>
                <w:szCs w:val="20"/>
              </w:rPr>
            </w:pPr>
          </w:p>
        </w:tc>
      </w:tr>
      <w:tr w:rsidR="008C0A68" w14:paraId="6644D7A4" w14:textId="77777777" w:rsidTr="00E41AB9">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6B805"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773E5A80" w14:textId="77777777" w:rsidR="008C0A68" w:rsidRDefault="008C0A68" w:rsidP="00E41AB9">
            <w:pPr>
              <w:pStyle w:val="Default"/>
              <w:spacing w:line="256" w:lineRule="auto"/>
              <w:jc w:val="center"/>
              <w:rPr>
                <w:sz w:val="20"/>
                <w:szCs w:val="20"/>
              </w:rPr>
            </w:pPr>
            <w:r>
              <w:rPr>
                <w:sz w:val="20"/>
                <w:szCs w:val="20"/>
              </w:rPr>
              <w:t>BBB-</w:t>
            </w:r>
          </w:p>
        </w:tc>
        <w:tc>
          <w:tcPr>
            <w:tcW w:w="354" w:type="pct"/>
            <w:tcBorders>
              <w:top w:val="single" w:sz="4" w:space="0" w:color="auto"/>
              <w:left w:val="single" w:sz="4" w:space="0" w:color="auto"/>
              <w:bottom w:val="single" w:sz="4" w:space="0" w:color="auto"/>
              <w:right w:val="single" w:sz="4" w:space="0" w:color="auto"/>
            </w:tcBorders>
            <w:vAlign w:val="center"/>
            <w:hideMark/>
          </w:tcPr>
          <w:p w14:paraId="2E22D3AB" w14:textId="77777777" w:rsidR="008C0A68" w:rsidRDefault="008C0A68" w:rsidP="00E41AB9">
            <w:pPr>
              <w:pStyle w:val="Default"/>
              <w:spacing w:line="256" w:lineRule="auto"/>
              <w:jc w:val="center"/>
              <w:rPr>
                <w:sz w:val="20"/>
                <w:szCs w:val="20"/>
                <w:lang w:val="en-US"/>
              </w:rPr>
            </w:pPr>
            <w:r>
              <w:rPr>
                <w:sz w:val="20"/>
                <w:szCs w:val="20"/>
              </w:rPr>
              <w:t>Baa</w:t>
            </w:r>
            <w:r>
              <w:rPr>
                <w:sz w:val="20"/>
                <w:szCs w:val="20"/>
                <w:lang w:val="en-US"/>
              </w:rPr>
              <w:t>3</w:t>
            </w:r>
          </w:p>
        </w:tc>
        <w:tc>
          <w:tcPr>
            <w:tcW w:w="369" w:type="pct"/>
            <w:tcBorders>
              <w:top w:val="single" w:sz="4" w:space="0" w:color="auto"/>
              <w:left w:val="single" w:sz="4" w:space="0" w:color="auto"/>
              <w:bottom w:val="single" w:sz="4" w:space="0" w:color="auto"/>
              <w:right w:val="single" w:sz="4" w:space="0" w:color="auto"/>
            </w:tcBorders>
            <w:vAlign w:val="center"/>
            <w:hideMark/>
          </w:tcPr>
          <w:p w14:paraId="091F01A5" w14:textId="77777777" w:rsidR="008C0A68" w:rsidRDefault="008C0A68" w:rsidP="00E41AB9">
            <w:pPr>
              <w:pStyle w:val="Default"/>
              <w:spacing w:line="256" w:lineRule="auto"/>
              <w:jc w:val="center"/>
              <w:rPr>
                <w:sz w:val="20"/>
                <w:szCs w:val="20"/>
              </w:rPr>
            </w:pPr>
            <w:r>
              <w:rPr>
                <w:sz w:val="20"/>
                <w:szCs w:val="20"/>
              </w:rPr>
              <w:t>BBB-</w:t>
            </w:r>
          </w:p>
        </w:tc>
        <w:tc>
          <w:tcPr>
            <w:tcW w:w="413" w:type="pct"/>
            <w:tcBorders>
              <w:top w:val="single" w:sz="4" w:space="0" w:color="auto"/>
              <w:left w:val="single" w:sz="4" w:space="0" w:color="auto"/>
              <w:bottom w:val="single" w:sz="4" w:space="0" w:color="auto"/>
              <w:right w:val="single" w:sz="4" w:space="0" w:color="auto"/>
            </w:tcBorders>
            <w:vAlign w:val="center"/>
            <w:hideMark/>
          </w:tcPr>
          <w:p w14:paraId="058EC51A" w14:textId="77777777" w:rsidR="008C0A68" w:rsidRDefault="008C0A68" w:rsidP="00E41AB9">
            <w:pPr>
              <w:pStyle w:val="Default"/>
              <w:spacing w:line="256" w:lineRule="auto"/>
              <w:jc w:val="center"/>
              <w:rPr>
                <w:sz w:val="20"/>
                <w:szCs w:val="20"/>
              </w:rPr>
            </w:pPr>
            <w:r>
              <w:rPr>
                <w:sz w:val="20"/>
                <w:szCs w:val="20"/>
              </w:rPr>
              <w:t>ruAAA</w:t>
            </w:r>
          </w:p>
        </w:tc>
        <w:tc>
          <w:tcPr>
            <w:tcW w:w="512" w:type="pct"/>
            <w:tcBorders>
              <w:top w:val="single" w:sz="4" w:space="0" w:color="auto"/>
              <w:left w:val="single" w:sz="4" w:space="0" w:color="auto"/>
              <w:bottom w:val="single" w:sz="4" w:space="0" w:color="auto"/>
              <w:right w:val="single" w:sz="4" w:space="0" w:color="auto"/>
            </w:tcBorders>
            <w:vAlign w:val="center"/>
            <w:hideMark/>
          </w:tcPr>
          <w:p w14:paraId="512C25B9" w14:textId="77777777" w:rsidR="008C0A68" w:rsidRDefault="008C0A68" w:rsidP="00E41AB9">
            <w:pPr>
              <w:pStyle w:val="Default"/>
              <w:spacing w:line="256" w:lineRule="auto"/>
              <w:jc w:val="center"/>
              <w:rPr>
                <w:sz w:val="20"/>
                <w:szCs w:val="20"/>
              </w:rPr>
            </w:pPr>
            <w:r>
              <w:rPr>
                <w:sz w:val="20"/>
                <w:szCs w:val="20"/>
              </w:rPr>
              <w:t>AAA (RU)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25B01BA7" w14:textId="77777777" w:rsidR="008C0A68" w:rsidRDefault="008C0A68" w:rsidP="00E41AB9">
            <w:pPr>
              <w:pStyle w:val="Default"/>
              <w:spacing w:line="256" w:lineRule="auto"/>
              <w:jc w:val="center"/>
              <w:rPr>
                <w:sz w:val="20"/>
                <w:szCs w:val="20"/>
              </w:rPr>
            </w:pPr>
            <w:r>
              <w:rPr>
                <w:rFonts w:eastAsia="Times New Roman"/>
                <w:sz w:val="20"/>
                <w:szCs w:val="20"/>
              </w:rPr>
              <w:t>AAA.ru</w:t>
            </w:r>
          </w:p>
        </w:tc>
        <w:tc>
          <w:tcPr>
            <w:tcW w:w="438" w:type="pct"/>
            <w:tcBorders>
              <w:top w:val="single" w:sz="4" w:space="0" w:color="auto"/>
              <w:left w:val="single" w:sz="4" w:space="0" w:color="auto"/>
              <w:bottom w:val="single" w:sz="4" w:space="0" w:color="auto"/>
              <w:right w:val="single" w:sz="4" w:space="0" w:color="auto"/>
            </w:tcBorders>
            <w:vAlign w:val="center"/>
            <w:hideMark/>
          </w:tcPr>
          <w:p w14:paraId="7021894A" w14:textId="77777777" w:rsidR="008C0A68" w:rsidRDefault="008C0A68" w:rsidP="00E41AB9">
            <w:pPr>
              <w:pStyle w:val="Default"/>
              <w:spacing w:line="256" w:lineRule="auto"/>
              <w:jc w:val="center"/>
              <w:rPr>
                <w:sz w:val="20"/>
                <w:szCs w:val="20"/>
              </w:rPr>
            </w:pPr>
            <w:r>
              <w:rPr>
                <w:rFonts w:eastAsia="Times New Roman"/>
                <w:sz w:val="20"/>
                <w:szCs w:val="20"/>
              </w:rPr>
              <w:t>AAA|ru|</w:t>
            </w:r>
          </w:p>
        </w:tc>
        <w:tc>
          <w:tcPr>
            <w:tcW w:w="435" w:type="pct"/>
            <w:tcBorders>
              <w:top w:val="single" w:sz="4" w:space="0" w:color="auto"/>
              <w:left w:val="single" w:sz="4" w:space="0" w:color="auto"/>
              <w:bottom w:val="single" w:sz="4" w:space="0" w:color="auto"/>
              <w:right w:val="single" w:sz="4" w:space="0" w:color="auto"/>
            </w:tcBorders>
            <w:vAlign w:val="center"/>
          </w:tcPr>
          <w:p w14:paraId="519CE1DB" w14:textId="77777777" w:rsidR="008C0A68" w:rsidRDefault="008C0A68" w:rsidP="00E41AB9">
            <w:pPr>
              <w:pStyle w:val="Default"/>
              <w:spacing w:line="256" w:lineRule="auto"/>
              <w:jc w:val="center"/>
              <w:rPr>
                <w:sz w:val="20"/>
                <w:szCs w:val="20"/>
              </w:rPr>
            </w:pPr>
          </w:p>
        </w:tc>
        <w:tc>
          <w:tcPr>
            <w:tcW w:w="549" w:type="pct"/>
            <w:tcBorders>
              <w:top w:val="single" w:sz="4" w:space="0" w:color="auto"/>
              <w:left w:val="single" w:sz="4" w:space="0" w:color="auto"/>
              <w:bottom w:val="single" w:sz="4" w:space="0" w:color="auto"/>
              <w:right w:val="single" w:sz="4" w:space="0" w:color="auto"/>
            </w:tcBorders>
            <w:vAlign w:val="center"/>
            <w:hideMark/>
          </w:tcPr>
          <w:p w14:paraId="0A915FB6" w14:textId="77777777" w:rsidR="008C0A68" w:rsidRDefault="008C0A68" w:rsidP="00E41AB9">
            <w:pPr>
              <w:pStyle w:val="Default"/>
              <w:spacing w:line="256" w:lineRule="auto"/>
              <w:jc w:val="center"/>
              <w:rPr>
                <w:sz w:val="20"/>
                <w:szCs w:val="20"/>
              </w:rPr>
            </w:pPr>
            <w:r>
              <w:rPr>
                <w:sz w:val="20"/>
                <w:szCs w:val="20"/>
              </w:rPr>
              <w:t>0,00</w:t>
            </w:r>
          </w:p>
        </w:tc>
        <w:tc>
          <w:tcPr>
            <w:tcW w:w="549" w:type="pct"/>
            <w:tcBorders>
              <w:top w:val="single" w:sz="4" w:space="0" w:color="auto"/>
              <w:left w:val="single" w:sz="4" w:space="0" w:color="auto"/>
              <w:bottom w:val="single" w:sz="4" w:space="0" w:color="auto"/>
              <w:right w:val="single" w:sz="4" w:space="0" w:color="auto"/>
            </w:tcBorders>
            <w:vAlign w:val="center"/>
            <w:hideMark/>
          </w:tcPr>
          <w:p w14:paraId="061171BB" w14:textId="77777777" w:rsidR="008C0A68" w:rsidRDefault="008C0A68" w:rsidP="00E41AB9">
            <w:pPr>
              <w:pStyle w:val="Default"/>
              <w:spacing w:line="256" w:lineRule="auto"/>
              <w:jc w:val="center"/>
              <w:rPr>
                <w:sz w:val="20"/>
                <w:szCs w:val="20"/>
              </w:rPr>
            </w:pPr>
            <w:r>
              <w:rPr>
                <w:sz w:val="20"/>
                <w:szCs w:val="20"/>
              </w:rPr>
              <w:t>0,22</w:t>
            </w:r>
          </w:p>
        </w:tc>
      </w:tr>
      <w:tr w:rsidR="008C0A68" w14:paraId="651EFED3"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119E11"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10E9FD2C" w14:textId="77777777" w:rsidR="008C0A68" w:rsidRDefault="008C0A68" w:rsidP="00E41AB9">
            <w:pPr>
              <w:pStyle w:val="Default"/>
              <w:spacing w:line="256" w:lineRule="auto"/>
              <w:jc w:val="center"/>
              <w:rPr>
                <w:sz w:val="20"/>
                <w:szCs w:val="20"/>
              </w:rPr>
            </w:pPr>
            <w:r>
              <w:rPr>
                <w:sz w:val="20"/>
                <w:szCs w:val="20"/>
              </w:rPr>
              <w:t>BB+</w:t>
            </w:r>
          </w:p>
        </w:tc>
        <w:tc>
          <w:tcPr>
            <w:tcW w:w="354" w:type="pct"/>
            <w:tcBorders>
              <w:top w:val="single" w:sz="4" w:space="0" w:color="auto"/>
              <w:left w:val="single" w:sz="4" w:space="0" w:color="auto"/>
              <w:bottom w:val="single" w:sz="4" w:space="0" w:color="auto"/>
              <w:right w:val="single" w:sz="4" w:space="0" w:color="auto"/>
            </w:tcBorders>
            <w:vAlign w:val="center"/>
            <w:hideMark/>
          </w:tcPr>
          <w:p w14:paraId="7BA2325C" w14:textId="77777777" w:rsidR="008C0A68" w:rsidRDefault="008C0A68" w:rsidP="00E41AB9">
            <w:pPr>
              <w:pStyle w:val="Default"/>
              <w:spacing w:line="256" w:lineRule="auto"/>
              <w:jc w:val="center"/>
              <w:rPr>
                <w:sz w:val="20"/>
                <w:szCs w:val="20"/>
              </w:rPr>
            </w:pPr>
            <w:r>
              <w:rPr>
                <w:sz w:val="20"/>
                <w:szCs w:val="20"/>
              </w:rPr>
              <w:t>Ba1</w:t>
            </w:r>
          </w:p>
        </w:tc>
        <w:tc>
          <w:tcPr>
            <w:tcW w:w="369" w:type="pct"/>
            <w:tcBorders>
              <w:top w:val="single" w:sz="4" w:space="0" w:color="auto"/>
              <w:left w:val="single" w:sz="4" w:space="0" w:color="auto"/>
              <w:bottom w:val="single" w:sz="4" w:space="0" w:color="auto"/>
              <w:right w:val="single" w:sz="4" w:space="0" w:color="auto"/>
            </w:tcBorders>
            <w:vAlign w:val="center"/>
            <w:hideMark/>
          </w:tcPr>
          <w:p w14:paraId="1872E82A" w14:textId="77777777" w:rsidR="008C0A68" w:rsidRDefault="008C0A68" w:rsidP="00E41AB9">
            <w:pPr>
              <w:pStyle w:val="Default"/>
              <w:spacing w:line="256" w:lineRule="auto"/>
              <w:jc w:val="center"/>
              <w:rPr>
                <w:sz w:val="20"/>
                <w:szCs w:val="20"/>
              </w:rPr>
            </w:pPr>
            <w:r>
              <w:rPr>
                <w:sz w:val="20"/>
                <w:szCs w:val="20"/>
              </w:rPr>
              <w:t>BB+</w:t>
            </w:r>
          </w:p>
        </w:tc>
        <w:tc>
          <w:tcPr>
            <w:tcW w:w="413" w:type="pct"/>
            <w:tcBorders>
              <w:top w:val="single" w:sz="4" w:space="0" w:color="auto"/>
              <w:left w:val="single" w:sz="4" w:space="0" w:color="auto"/>
              <w:bottom w:val="single" w:sz="4" w:space="0" w:color="auto"/>
              <w:right w:val="single" w:sz="4" w:space="0" w:color="auto"/>
            </w:tcBorders>
            <w:vAlign w:val="center"/>
            <w:hideMark/>
          </w:tcPr>
          <w:p w14:paraId="0B4146BD" w14:textId="77777777" w:rsidR="008C0A68" w:rsidRDefault="008C0A68" w:rsidP="00E41AB9">
            <w:pPr>
              <w:pStyle w:val="Default"/>
              <w:spacing w:line="256" w:lineRule="auto"/>
              <w:jc w:val="center"/>
              <w:rPr>
                <w:sz w:val="20"/>
                <w:szCs w:val="20"/>
              </w:rPr>
            </w:pPr>
            <w:r>
              <w:rPr>
                <w:sz w:val="20"/>
                <w:szCs w:val="20"/>
              </w:rPr>
              <w:t>ruAA+,</w:t>
            </w:r>
            <w:r>
              <w:rPr>
                <w:sz w:val="20"/>
                <w:szCs w:val="20"/>
              </w:rPr>
              <w:br/>
              <w:t>ruAA</w:t>
            </w:r>
          </w:p>
        </w:tc>
        <w:tc>
          <w:tcPr>
            <w:tcW w:w="512" w:type="pct"/>
            <w:tcBorders>
              <w:top w:val="single" w:sz="4" w:space="0" w:color="auto"/>
              <w:left w:val="single" w:sz="4" w:space="0" w:color="auto"/>
              <w:bottom w:val="single" w:sz="4" w:space="0" w:color="auto"/>
              <w:right w:val="single" w:sz="4" w:space="0" w:color="auto"/>
            </w:tcBorders>
            <w:vAlign w:val="center"/>
            <w:hideMark/>
          </w:tcPr>
          <w:p w14:paraId="62436BF8" w14:textId="77777777" w:rsidR="008C0A68" w:rsidRDefault="008C0A68" w:rsidP="00E41AB9">
            <w:pPr>
              <w:pStyle w:val="Default"/>
              <w:spacing w:line="256" w:lineRule="auto"/>
              <w:jc w:val="center"/>
              <w:rPr>
                <w:sz w:val="20"/>
                <w:szCs w:val="20"/>
                <w:lang w:val="en-US"/>
              </w:rPr>
            </w:pPr>
            <w:r>
              <w:rPr>
                <w:sz w:val="20"/>
                <w:szCs w:val="20"/>
                <w:lang w:val="en-US"/>
              </w:rPr>
              <w:t>AA+(RU), AA(RU)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4F91E27C" w14:textId="77777777" w:rsidR="008C0A68" w:rsidRDefault="008C0A68" w:rsidP="00E41AB9">
            <w:pPr>
              <w:jc w:val="center"/>
              <w:rPr>
                <w:color w:val="000000"/>
                <w:sz w:val="20"/>
              </w:rPr>
            </w:pPr>
            <w:r>
              <w:rPr>
                <w:bCs/>
                <w:sz w:val="20"/>
              </w:rPr>
              <w:t>AA+.ru, AA.ru</w:t>
            </w:r>
          </w:p>
        </w:tc>
        <w:tc>
          <w:tcPr>
            <w:tcW w:w="438" w:type="pct"/>
            <w:tcBorders>
              <w:top w:val="single" w:sz="4" w:space="0" w:color="auto"/>
              <w:left w:val="single" w:sz="4" w:space="0" w:color="auto"/>
              <w:bottom w:val="single" w:sz="4" w:space="0" w:color="auto"/>
              <w:right w:val="single" w:sz="4" w:space="0" w:color="auto"/>
            </w:tcBorders>
            <w:vAlign w:val="center"/>
            <w:hideMark/>
          </w:tcPr>
          <w:p w14:paraId="2AAA7D46" w14:textId="77777777" w:rsidR="008C0A68" w:rsidRDefault="008C0A68" w:rsidP="00E41AB9">
            <w:pPr>
              <w:jc w:val="center"/>
              <w:rPr>
                <w:color w:val="000000"/>
                <w:sz w:val="20"/>
              </w:rPr>
            </w:pPr>
            <w:r>
              <w:rPr>
                <w:bCs/>
                <w:sz w:val="20"/>
              </w:rPr>
              <w:t>AA+|ru|, AA|ru|</w:t>
            </w:r>
          </w:p>
        </w:tc>
        <w:tc>
          <w:tcPr>
            <w:tcW w:w="435" w:type="pct"/>
            <w:tcBorders>
              <w:top w:val="single" w:sz="4" w:space="0" w:color="auto"/>
              <w:left w:val="single" w:sz="4" w:space="0" w:color="auto"/>
              <w:bottom w:val="single" w:sz="4" w:space="0" w:color="auto"/>
              <w:right w:val="single" w:sz="4" w:space="0" w:color="auto"/>
            </w:tcBorders>
            <w:vAlign w:val="center"/>
            <w:hideMark/>
          </w:tcPr>
          <w:p w14:paraId="6994B22E" w14:textId="77777777" w:rsidR="008C0A68" w:rsidRDefault="008C0A68" w:rsidP="00E41AB9">
            <w:pPr>
              <w:jc w:val="center"/>
              <w:rPr>
                <w:color w:val="000000"/>
                <w:sz w:val="20"/>
              </w:rPr>
            </w:pPr>
            <w:r>
              <w:rPr>
                <w:color w:val="000000"/>
                <w:sz w:val="20"/>
              </w:rPr>
              <w:t>ААА</w:t>
            </w:r>
          </w:p>
        </w:tc>
        <w:tc>
          <w:tcPr>
            <w:tcW w:w="549" w:type="pct"/>
            <w:vMerge w:val="restart"/>
            <w:tcBorders>
              <w:top w:val="single" w:sz="4" w:space="0" w:color="auto"/>
              <w:left w:val="single" w:sz="4" w:space="0" w:color="auto"/>
              <w:bottom w:val="single" w:sz="4" w:space="0" w:color="auto"/>
              <w:right w:val="single" w:sz="4" w:space="0" w:color="auto"/>
            </w:tcBorders>
            <w:vAlign w:val="center"/>
            <w:hideMark/>
          </w:tcPr>
          <w:p w14:paraId="0884810E" w14:textId="77777777" w:rsidR="008C0A68" w:rsidRDefault="008C0A68" w:rsidP="00E41AB9">
            <w:pPr>
              <w:pStyle w:val="Default"/>
              <w:spacing w:line="256" w:lineRule="auto"/>
              <w:jc w:val="center"/>
              <w:rPr>
                <w:sz w:val="20"/>
                <w:szCs w:val="20"/>
              </w:rPr>
            </w:pPr>
            <w:r>
              <w:rPr>
                <w:sz w:val="20"/>
                <w:szCs w:val="20"/>
              </w:rPr>
              <w:t>0,09</w:t>
            </w:r>
          </w:p>
        </w:tc>
        <w:tc>
          <w:tcPr>
            <w:tcW w:w="549" w:type="pct"/>
            <w:tcBorders>
              <w:top w:val="single" w:sz="4" w:space="0" w:color="auto"/>
              <w:left w:val="single" w:sz="4" w:space="0" w:color="auto"/>
              <w:bottom w:val="single" w:sz="4" w:space="0" w:color="auto"/>
              <w:right w:val="single" w:sz="4" w:space="0" w:color="auto"/>
            </w:tcBorders>
            <w:vAlign w:val="center"/>
            <w:hideMark/>
          </w:tcPr>
          <w:p w14:paraId="5E57B09A" w14:textId="77777777" w:rsidR="008C0A68" w:rsidRDefault="008C0A68" w:rsidP="00E41AB9">
            <w:pPr>
              <w:pStyle w:val="Default"/>
              <w:spacing w:line="256" w:lineRule="auto"/>
              <w:jc w:val="center"/>
              <w:rPr>
                <w:sz w:val="20"/>
                <w:szCs w:val="20"/>
              </w:rPr>
            </w:pPr>
            <w:r>
              <w:rPr>
                <w:sz w:val="20"/>
                <w:szCs w:val="20"/>
              </w:rPr>
              <w:t>0,29</w:t>
            </w:r>
          </w:p>
        </w:tc>
      </w:tr>
      <w:tr w:rsidR="008C0A68" w14:paraId="77F7B783"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2E0A8"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62117E79" w14:textId="77777777" w:rsidR="008C0A68" w:rsidRDefault="008C0A68" w:rsidP="00E41AB9">
            <w:pPr>
              <w:pStyle w:val="Default"/>
              <w:spacing w:line="256" w:lineRule="auto"/>
              <w:jc w:val="center"/>
              <w:rPr>
                <w:sz w:val="20"/>
                <w:szCs w:val="20"/>
              </w:rPr>
            </w:pPr>
            <w:r>
              <w:rPr>
                <w:sz w:val="20"/>
                <w:szCs w:val="20"/>
              </w:rPr>
              <w:t>BB</w:t>
            </w:r>
          </w:p>
        </w:tc>
        <w:tc>
          <w:tcPr>
            <w:tcW w:w="354" w:type="pct"/>
            <w:tcBorders>
              <w:top w:val="single" w:sz="4" w:space="0" w:color="auto"/>
              <w:left w:val="single" w:sz="4" w:space="0" w:color="auto"/>
              <w:bottom w:val="single" w:sz="4" w:space="0" w:color="auto"/>
              <w:right w:val="single" w:sz="4" w:space="0" w:color="auto"/>
            </w:tcBorders>
            <w:vAlign w:val="center"/>
            <w:hideMark/>
          </w:tcPr>
          <w:p w14:paraId="542DC218" w14:textId="77777777" w:rsidR="008C0A68" w:rsidRDefault="008C0A68" w:rsidP="00E41AB9">
            <w:pPr>
              <w:pStyle w:val="Default"/>
              <w:spacing w:line="256" w:lineRule="auto"/>
              <w:jc w:val="center"/>
              <w:rPr>
                <w:sz w:val="20"/>
                <w:szCs w:val="20"/>
              </w:rPr>
            </w:pPr>
            <w:r>
              <w:rPr>
                <w:sz w:val="20"/>
                <w:szCs w:val="20"/>
              </w:rPr>
              <w:t>Ba2</w:t>
            </w:r>
          </w:p>
        </w:tc>
        <w:tc>
          <w:tcPr>
            <w:tcW w:w="369" w:type="pct"/>
            <w:tcBorders>
              <w:top w:val="single" w:sz="4" w:space="0" w:color="auto"/>
              <w:left w:val="single" w:sz="4" w:space="0" w:color="auto"/>
              <w:bottom w:val="single" w:sz="4" w:space="0" w:color="auto"/>
              <w:right w:val="single" w:sz="4" w:space="0" w:color="auto"/>
            </w:tcBorders>
            <w:vAlign w:val="center"/>
            <w:hideMark/>
          </w:tcPr>
          <w:p w14:paraId="7A7C0043" w14:textId="77777777" w:rsidR="008C0A68" w:rsidRDefault="008C0A68" w:rsidP="00E41AB9">
            <w:pPr>
              <w:pStyle w:val="Default"/>
              <w:spacing w:line="256" w:lineRule="auto"/>
              <w:jc w:val="center"/>
              <w:rPr>
                <w:sz w:val="20"/>
                <w:szCs w:val="20"/>
              </w:rPr>
            </w:pPr>
            <w:r>
              <w:rPr>
                <w:sz w:val="20"/>
                <w:szCs w:val="20"/>
              </w:rPr>
              <w:t>BB</w:t>
            </w:r>
          </w:p>
        </w:tc>
        <w:tc>
          <w:tcPr>
            <w:tcW w:w="413" w:type="pct"/>
            <w:tcBorders>
              <w:top w:val="single" w:sz="4" w:space="0" w:color="auto"/>
              <w:left w:val="single" w:sz="4" w:space="0" w:color="auto"/>
              <w:bottom w:val="single" w:sz="4" w:space="0" w:color="auto"/>
              <w:right w:val="single" w:sz="4" w:space="0" w:color="auto"/>
            </w:tcBorders>
            <w:vAlign w:val="center"/>
            <w:hideMark/>
          </w:tcPr>
          <w:p w14:paraId="0222F99D" w14:textId="77777777" w:rsidR="008C0A68" w:rsidRDefault="008C0A68" w:rsidP="00E41AB9">
            <w:pPr>
              <w:pStyle w:val="Default"/>
              <w:spacing w:line="256" w:lineRule="auto"/>
              <w:jc w:val="center"/>
              <w:rPr>
                <w:sz w:val="20"/>
                <w:szCs w:val="20"/>
              </w:rPr>
            </w:pPr>
            <w:r>
              <w:rPr>
                <w:sz w:val="20"/>
                <w:szCs w:val="20"/>
              </w:rPr>
              <w:t xml:space="preserve">ruAA-, </w:t>
            </w:r>
            <w:r>
              <w:rPr>
                <w:sz w:val="20"/>
                <w:szCs w:val="20"/>
              </w:rPr>
              <w:br/>
              <w:t>ruA+</w:t>
            </w:r>
          </w:p>
        </w:tc>
        <w:tc>
          <w:tcPr>
            <w:tcW w:w="512" w:type="pct"/>
            <w:tcBorders>
              <w:top w:val="single" w:sz="4" w:space="0" w:color="auto"/>
              <w:left w:val="single" w:sz="4" w:space="0" w:color="auto"/>
              <w:bottom w:val="single" w:sz="4" w:space="0" w:color="auto"/>
              <w:right w:val="single" w:sz="4" w:space="0" w:color="auto"/>
            </w:tcBorders>
            <w:vAlign w:val="center"/>
            <w:hideMark/>
          </w:tcPr>
          <w:p w14:paraId="12CEA579" w14:textId="77777777" w:rsidR="008C0A68" w:rsidRDefault="008C0A68" w:rsidP="00E41AB9">
            <w:pPr>
              <w:pStyle w:val="Default"/>
              <w:spacing w:line="256" w:lineRule="auto"/>
              <w:jc w:val="center"/>
              <w:rPr>
                <w:sz w:val="20"/>
                <w:szCs w:val="20"/>
              </w:rPr>
            </w:pPr>
            <w:r>
              <w:rPr>
                <w:sz w:val="20"/>
                <w:szCs w:val="20"/>
                <w:lang w:val="en-US"/>
              </w:rPr>
              <w:t>AA-(RU), A+(RU)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1CAED799" w14:textId="77777777" w:rsidR="008C0A68" w:rsidRDefault="008C0A68" w:rsidP="00E41AB9">
            <w:pPr>
              <w:ind w:firstLine="33"/>
              <w:jc w:val="center"/>
              <w:rPr>
                <w:color w:val="000000"/>
                <w:sz w:val="20"/>
              </w:rPr>
            </w:pPr>
            <w:r>
              <w:rPr>
                <w:bCs/>
                <w:sz w:val="20"/>
              </w:rPr>
              <w:t>AA-.ru, A+.ru</w:t>
            </w:r>
          </w:p>
        </w:tc>
        <w:tc>
          <w:tcPr>
            <w:tcW w:w="438" w:type="pct"/>
            <w:tcBorders>
              <w:top w:val="single" w:sz="4" w:space="0" w:color="auto"/>
              <w:left w:val="single" w:sz="4" w:space="0" w:color="auto"/>
              <w:bottom w:val="single" w:sz="4" w:space="0" w:color="auto"/>
              <w:right w:val="single" w:sz="4" w:space="0" w:color="auto"/>
            </w:tcBorders>
            <w:vAlign w:val="center"/>
            <w:hideMark/>
          </w:tcPr>
          <w:p w14:paraId="7A91BB61" w14:textId="77777777" w:rsidR="008C0A68" w:rsidRDefault="008C0A68" w:rsidP="00E41AB9">
            <w:pPr>
              <w:ind w:firstLine="33"/>
              <w:jc w:val="center"/>
              <w:rPr>
                <w:color w:val="000000"/>
                <w:sz w:val="20"/>
              </w:rPr>
            </w:pPr>
            <w:r>
              <w:rPr>
                <w:bCs/>
                <w:sz w:val="20"/>
              </w:rPr>
              <w:t>AA-|ru|, A+|ru|</w:t>
            </w:r>
          </w:p>
        </w:tc>
        <w:tc>
          <w:tcPr>
            <w:tcW w:w="435" w:type="pct"/>
            <w:tcBorders>
              <w:top w:val="single" w:sz="4" w:space="0" w:color="auto"/>
              <w:left w:val="single" w:sz="4" w:space="0" w:color="auto"/>
              <w:bottom w:val="single" w:sz="4" w:space="0" w:color="auto"/>
              <w:right w:val="single" w:sz="4" w:space="0" w:color="auto"/>
            </w:tcBorders>
            <w:vAlign w:val="center"/>
            <w:hideMark/>
          </w:tcPr>
          <w:p w14:paraId="43CE7E49" w14:textId="77777777" w:rsidR="008C0A68" w:rsidRDefault="008C0A68" w:rsidP="00E41AB9">
            <w:pPr>
              <w:ind w:firstLine="33"/>
              <w:jc w:val="center"/>
              <w:rPr>
                <w:color w:val="000000"/>
                <w:sz w:val="20"/>
              </w:rPr>
            </w:pPr>
            <w:r>
              <w:rPr>
                <w:color w:val="000000"/>
                <w:sz w:val="20"/>
              </w:rPr>
              <w:t>АА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F8EB5" w14:textId="77777777" w:rsidR="008C0A68" w:rsidRDefault="008C0A68" w:rsidP="00E41AB9">
            <w:pPr>
              <w:spacing w:line="256" w:lineRule="auto"/>
              <w:rPr>
                <w:rFonts w:eastAsia="Calibri"/>
                <w:color w:val="000000"/>
                <w:sz w:val="20"/>
                <w:lang w:eastAsia="en-US"/>
              </w:rPr>
            </w:pPr>
          </w:p>
        </w:tc>
        <w:tc>
          <w:tcPr>
            <w:tcW w:w="549" w:type="pct"/>
            <w:tcBorders>
              <w:top w:val="single" w:sz="4" w:space="0" w:color="auto"/>
              <w:left w:val="single" w:sz="4" w:space="0" w:color="auto"/>
              <w:bottom w:val="single" w:sz="4" w:space="0" w:color="auto"/>
              <w:right w:val="single" w:sz="4" w:space="0" w:color="auto"/>
            </w:tcBorders>
            <w:vAlign w:val="center"/>
            <w:hideMark/>
          </w:tcPr>
          <w:p w14:paraId="2CA2ADF1" w14:textId="77777777" w:rsidR="008C0A68" w:rsidRDefault="008C0A68" w:rsidP="00E41AB9">
            <w:pPr>
              <w:pStyle w:val="Default"/>
              <w:spacing w:line="256" w:lineRule="auto"/>
              <w:jc w:val="center"/>
              <w:rPr>
                <w:sz w:val="20"/>
                <w:szCs w:val="20"/>
              </w:rPr>
            </w:pPr>
            <w:r>
              <w:rPr>
                <w:sz w:val="20"/>
                <w:szCs w:val="20"/>
              </w:rPr>
              <w:t>0,45</w:t>
            </w:r>
          </w:p>
        </w:tc>
      </w:tr>
      <w:tr w:rsidR="008C0A68" w14:paraId="343BC815"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4808EF"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678BABD6" w14:textId="77777777" w:rsidR="008C0A68" w:rsidRDefault="008C0A68" w:rsidP="00E41AB9">
            <w:pPr>
              <w:pStyle w:val="Default"/>
              <w:spacing w:line="256" w:lineRule="auto"/>
              <w:jc w:val="center"/>
              <w:rPr>
                <w:sz w:val="20"/>
                <w:szCs w:val="20"/>
              </w:rPr>
            </w:pPr>
            <w:r>
              <w:rPr>
                <w:sz w:val="20"/>
                <w:szCs w:val="20"/>
              </w:rPr>
              <w:t>BB-</w:t>
            </w:r>
          </w:p>
        </w:tc>
        <w:tc>
          <w:tcPr>
            <w:tcW w:w="354" w:type="pct"/>
            <w:tcBorders>
              <w:top w:val="single" w:sz="4" w:space="0" w:color="auto"/>
              <w:left w:val="single" w:sz="4" w:space="0" w:color="auto"/>
              <w:bottom w:val="single" w:sz="4" w:space="0" w:color="auto"/>
              <w:right w:val="single" w:sz="4" w:space="0" w:color="auto"/>
            </w:tcBorders>
            <w:vAlign w:val="center"/>
            <w:hideMark/>
          </w:tcPr>
          <w:p w14:paraId="744C2A0C" w14:textId="77777777" w:rsidR="008C0A68" w:rsidRDefault="008C0A68" w:rsidP="00E41AB9">
            <w:pPr>
              <w:pStyle w:val="Default"/>
              <w:spacing w:line="256" w:lineRule="auto"/>
              <w:jc w:val="center"/>
              <w:rPr>
                <w:sz w:val="20"/>
                <w:szCs w:val="20"/>
              </w:rPr>
            </w:pPr>
            <w:r>
              <w:rPr>
                <w:sz w:val="20"/>
                <w:szCs w:val="20"/>
              </w:rPr>
              <w:t>Ba3</w:t>
            </w:r>
          </w:p>
        </w:tc>
        <w:tc>
          <w:tcPr>
            <w:tcW w:w="369" w:type="pct"/>
            <w:tcBorders>
              <w:top w:val="single" w:sz="4" w:space="0" w:color="auto"/>
              <w:left w:val="single" w:sz="4" w:space="0" w:color="auto"/>
              <w:bottom w:val="single" w:sz="4" w:space="0" w:color="auto"/>
              <w:right w:val="single" w:sz="4" w:space="0" w:color="auto"/>
            </w:tcBorders>
            <w:vAlign w:val="center"/>
            <w:hideMark/>
          </w:tcPr>
          <w:p w14:paraId="28F6117C" w14:textId="77777777" w:rsidR="008C0A68" w:rsidRDefault="008C0A68" w:rsidP="00E41AB9">
            <w:pPr>
              <w:pStyle w:val="Default"/>
              <w:spacing w:line="256" w:lineRule="auto"/>
              <w:jc w:val="center"/>
              <w:rPr>
                <w:sz w:val="20"/>
                <w:szCs w:val="20"/>
              </w:rPr>
            </w:pPr>
            <w:r>
              <w:rPr>
                <w:sz w:val="20"/>
                <w:szCs w:val="20"/>
              </w:rPr>
              <w:t>BB-</w:t>
            </w:r>
          </w:p>
        </w:tc>
        <w:tc>
          <w:tcPr>
            <w:tcW w:w="413" w:type="pct"/>
            <w:tcBorders>
              <w:top w:val="single" w:sz="4" w:space="0" w:color="auto"/>
              <w:left w:val="single" w:sz="4" w:space="0" w:color="auto"/>
              <w:bottom w:val="single" w:sz="4" w:space="0" w:color="auto"/>
              <w:right w:val="single" w:sz="4" w:space="0" w:color="auto"/>
            </w:tcBorders>
            <w:vAlign w:val="center"/>
            <w:hideMark/>
          </w:tcPr>
          <w:p w14:paraId="03099718" w14:textId="77777777" w:rsidR="008C0A68" w:rsidRDefault="008C0A68" w:rsidP="00E41AB9">
            <w:pPr>
              <w:pStyle w:val="Default"/>
              <w:spacing w:line="256" w:lineRule="auto"/>
              <w:jc w:val="center"/>
              <w:rPr>
                <w:sz w:val="20"/>
                <w:szCs w:val="20"/>
              </w:rPr>
            </w:pPr>
            <w:r>
              <w:rPr>
                <w:sz w:val="20"/>
                <w:szCs w:val="20"/>
              </w:rPr>
              <w:t>ruA,</w:t>
            </w:r>
          </w:p>
          <w:p w14:paraId="21F62D6A" w14:textId="77777777" w:rsidR="008C0A68" w:rsidRDefault="008C0A68" w:rsidP="00E41AB9">
            <w:pPr>
              <w:pStyle w:val="Default"/>
              <w:spacing w:line="256" w:lineRule="auto"/>
              <w:jc w:val="center"/>
              <w:rPr>
                <w:sz w:val="20"/>
                <w:szCs w:val="20"/>
              </w:rPr>
            </w:pPr>
            <w:r>
              <w:rPr>
                <w:sz w:val="20"/>
                <w:szCs w:val="20"/>
              </w:rPr>
              <w:lastRenderedPageBreak/>
              <w:t>ruA-, ruBBB+</w:t>
            </w:r>
          </w:p>
        </w:tc>
        <w:tc>
          <w:tcPr>
            <w:tcW w:w="512" w:type="pct"/>
            <w:tcBorders>
              <w:top w:val="single" w:sz="4" w:space="0" w:color="auto"/>
              <w:left w:val="single" w:sz="4" w:space="0" w:color="auto"/>
              <w:bottom w:val="single" w:sz="4" w:space="0" w:color="auto"/>
              <w:right w:val="single" w:sz="4" w:space="0" w:color="auto"/>
            </w:tcBorders>
            <w:vAlign w:val="center"/>
            <w:hideMark/>
          </w:tcPr>
          <w:p w14:paraId="7C39101A" w14:textId="77777777" w:rsidR="008C0A68" w:rsidRDefault="008C0A68" w:rsidP="00E41AB9">
            <w:pPr>
              <w:pStyle w:val="Default"/>
              <w:spacing w:line="256" w:lineRule="auto"/>
              <w:jc w:val="center"/>
              <w:rPr>
                <w:sz w:val="20"/>
                <w:szCs w:val="20"/>
                <w:lang w:val="en-US"/>
              </w:rPr>
            </w:pPr>
            <w:r>
              <w:rPr>
                <w:sz w:val="20"/>
                <w:szCs w:val="20"/>
              </w:rPr>
              <w:lastRenderedPageBreak/>
              <w:t>А</w:t>
            </w:r>
            <w:r>
              <w:rPr>
                <w:sz w:val="20"/>
                <w:szCs w:val="20"/>
                <w:lang w:val="en-US"/>
              </w:rPr>
              <w:t xml:space="preserve">(RU), </w:t>
            </w:r>
          </w:p>
          <w:p w14:paraId="342BA910" w14:textId="77777777" w:rsidR="008C0A68" w:rsidRDefault="008C0A68" w:rsidP="00E41AB9">
            <w:pPr>
              <w:pStyle w:val="Default"/>
              <w:spacing w:line="256" w:lineRule="auto"/>
              <w:jc w:val="center"/>
              <w:rPr>
                <w:sz w:val="20"/>
                <w:szCs w:val="20"/>
                <w:lang w:val="en-US"/>
              </w:rPr>
            </w:pPr>
            <w:r>
              <w:rPr>
                <w:sz w:val="20"/>
                <w:szCs w:val="20"/>
                <w:lang w:val="en-US"/>
              </w:rPr>
              <w:lastRenderedPageBreak/>
              <w:t>A-(RU), BBB+(RU)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0A0188C8" w14:textId="77777777" w:rsidR="008C0A68" w:rsidRDefault="008C0A68" w:rsidP="00E41AB9">
            <w:pPr>
              <w:ind w:firstLine="33"/>
              <w:jc w:val="center"/>
              <w:rPr>
                <w:bCs/>
                <w:sz w:val="20"/>
                <w:lang w:val="en-US"/>
              </w:rPr>
            </w:pPr>
            <w:r>
              <w:rPr>
                <w:bCs/>
                <w:sz w:val="20"/>
                <w:lang w:val="en-US"/>
              </w:rPr>
              <w:lastRenderedPageBreak/>
              <w:t xml:space="preserve">A.ru, </w:t>
            </w:r>
          </w:p>
          <w:p w14:paraId="77E91C72" w14:textId="77777777" w:rsidR="008C0A68" w:rsidRDefault="008C0A68" w:rsidP="00E41AB9">
            <w:pPr>
              <w:ind w:firstLine="33"/>
              <w:jc w:val="center"/>
              <w:rPr>
                <w:rFonts w:eastAsia="Calibri"/>
                <w:color w:val="000000"/>
                <w:sz w:val="20"/>
                <w:lang w:val="en-US" w:eastAsia="en-US"/>
              </w:rPr>
            </w:pPr>
            <w:r>
              <w:rPr>
                <w:bCs/>
                <w:sz w:val="20"/>
                <w:lang w:val="en-US"/>
              </w:rPr>
              <w:lastRenderedPageBreak/>
              <w:t>A-.ru, BBB+.ru</w:t>
            </w:r>
          </w:p>
        </w:tc>
        <w:tc>
          <w:tcPr>
            <w:tcW w:w="438" w:type="pct"/>
            <w:tcBorders>
              <w:top w:val="single" w:sz="4" w:space="0" w:color="auto"/>
              <w:left w:val="single" w:sz="4" w:space="0" w:color="auto"/>
              <w:bottom w:val="single" w:sz="4" w:space="0" w:color="auto"/>
              <w:right w:val="single" w:sz="4" w:space="0" w:color="auto"/>
            </w:tcBorders>
            <w:vAlign w:val="center"/>
            <w:hideMark/>
          </w:tcPr>
          <w:p w14:paraId="44F53FAB" w14:textId="77777777" w:rsidR="008C0A68" w:rsidRDefault="008C0A68" w:rsidP="00E41AB9">
            <w:pPr>
              <w:ind w:firstLine="33"/>
              <w:jc w:val="center"/>
              <w:rPr>
                <w:bCs/>
                <w:sz w:val="20"/>
                <w:lang w:val="en-US"/>
              </w:rPr>
            </w:pPr>
            <w:r>
              <w:rPr>
                <w:bCs/>
                <w:sz w:val="20"/>
                <w:lang w:val="en-US"/>
              </w:rPr>
              <w:lastRenderedPageBreak/>
              <w:t xml:space="preserve">A|ru|, </w:t>
            </w:r>
          </w:p>
          <w:p w14:paraId="0F985F83" w14:textId="77777777" w:rsidR="008C0A68" w:rsidRDefault="008C0A68" w:rsidP="00E41AB9">
            <w:pPr>
              <w:ind w:firstLine="33"/>
              <w:jc w:val="center"/>
              <w:rPr>
                <w:rFonts w:eastAsia="Calibri"/>
                <w:color w:val="000000"/>
                <w:sz w:val="20"/>
                <w:lang w:val="en-US" w:eastAsia="en-US"/>
              </w:rPr>
            </w:pPr>
            <w:r>
              <w:rPr>
                <w:bCs/>
                <w:sz w:val="20"/>
                <w:lang w:val="en-US"/>
              </w:rPr>
              <w:lastRenderedPageBreak/>
              <w:t>A-|ru|, BBB+|ru|</w:t>
            </w:r>
          </w:p>
        </w:tc>
        <w:tc>
          <w:tcPr>
            <w:tcW w:w="435" w:type="pct"/>
            <w:tcBorders>
              <w:top w:val="single" w:sz="4" w:space="0" w:color="auto"/>
              <w:left w:val="single" w:sz="4" w:space="0" w:color="auto"/>
              <w:bottom w:val="single" w:sz="4" w:space="0" w:color="auto"/>
              <w:right w:val="single" w:sz="4" w:space="0" w:color="auto"/>
            </w:tcBorders>
            <w:vAlign w:val="center"/>
            <w:hideMark/>
          </w:tcPr>
          <w:p w14:paraId="6394D6A4" w14:textId="77777777" w:rsidR="008C0A68" w:rsidRDefault="008C0A68" w:rsidP="00E41AB9">
            <w:pPr>
              <w:ind w:firstLine="33"/>
              <w:jc w:val="center"/>
              <w:rPr>
                <w:color w:val="000000"/>
                <w:sz w:val="20"/>
              </w:rPr>
            </w:pPr>
            <w:r>
              <w:rPr>
                <w:color w:val="000000"/>
                <w:sz w:val="20"/>
              </w:rPr>
              <w:lastRenderedPageBreak/>
              <w:t>А</w:t>
            </w:r>
          </w:p>
        </w:tc>
        <w:tc>
          <w:tcPr>
            <w:tcW w:w="549" w:type="pct"/>
            <w:tcBorders>
              <w:top w:val="single" w:sz="4" w:space="0" w:color="auto"/>
              <w:left w:val="single" w:sz="4" w:space="0" w:color="auto"/>
              <w:bottom w:val="single" w:sz="4" w:space="0" w:color="auto"/>
              <w:right w:val="single" w:sz="4" w:space="0" w:color="auto"/>
            </w:tcBorders>
            <w:vAlign w:val="center"/>
            <w:hideMark/>
          </w:tcPr>
          <w:p w14:paraId="5FFB384E" w14:textId="77777777" w:rsidR="008C0A68" w:rsidRDefault="008C0A68" w:rsidP="00E41AB9">
            <w:pPr>
              <w:pStyle w:val="Default"/>
              <w:spacing w:line="256" w:lineRule="auto"/>
              <w:jc w:val="center"/>
              <w:rPr>
                <w:sz w:val="20"/>
                <w:szCs w:val="20"/>
              </w:rPr>
            </w:pPr>
            <w:r>
              <w:rPr>
                <w:sz w:val="20"/>
                <w:szCs w:val="20"/>
              </w:rPr>
              <w:t>0,57</w:t>
            </w:r>
          </w:p>
        </w:tc>
        <w:tc>
          <w:tcPr>
            <w:tcW w:w="549" w:type="pct"/>
            <w:tcBorders>
              <w:top w:val="single" w:sz="4" w:space="0" w:color="auto"/>
              <w:left w:val="single" w:sz="4" w:space="0" w:color="auto"/>
              <w:bottom w:val="single" w:sz="4" w:space="0" w:color="auto"/>
              <w:right w:val="single" w:sz="4" w:space="0" w:color="auto"/>
            </w:tcBorders>
            <w:vAlign w:val="center"/>
            <w:hideMark/>
          </w:tcPr>
          <w:p w14:paraId="43ABE34D" w14:textId="77777777" w:rsidR="008C0A68" w:rsidRDefault="008C0A68" w:rsidP="00E41AB9">
            <w:pPr>
              <w:pStyle w:val="Default"/>
              <w:spacing w:line="256" w:lineRule="auto"/>
              <w:jc w:val="center"/>
              <w:rPr>
                <w:sz w:val="20"/>
                <w:szCs w:val="20"/>
              </w:rPr>
            </w:pPr>
            <w:r>
              <w:rPr>
                <w:sz w:val="20"/>
                <w:szCs w:val="20"/>
              </w:rPr>
              <w:t>0,91</w:t>
            </w:r>
          </w:p>
        </w:tc>
      </w:tr>
      <w:tr w:rsidR="008C0A68" w14:paraId="0FDC07A0" w14:textId="77777777" w:rsidTr="00E41AB9">
        <w:trPr>
          <w:trHeight w:val="247"/>
        </w:trPr>
        <w:tc>
          <w:tcPr>
            <w:tcW w:w="582" w:type="pct"/>
            <w:vMerge w:val="restart"/>
            <w:tcBorders>
              <w:top w:val="single" w:sz="4" w:space="0" w:color="auto"/>
              <w:left w:val="single" w:sz="4" w:space="0" w:color="auto"/>
              <w:bottom w:val="single" w:sz="4" w:space="0" w:color="auto"/>
              <w:right w:val="single" w:sz="4" w:space="0" w:color="auto"/>
            </w:tcBorders>
            <w:vAlign w:val="center"/>
            <w:hideMark/>
          </w:tcPr>
          <w:p w14:paraId="74778F90"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II</w:t>
            </w:r>
          </w:p>
        </w:tc>
        <w:tc>
          <w:tcPr>
            <w:tcW w:w="353" w:type="pct"/>
            <w:tcBorders>
              <w:top w:val="single" w:sz="4" w:space="0" w:color="auto"/>
              <w:left w:val="single" w:sz="4" w:space="0" w:color="auto"/>
              <w:bottom w:val="single" w:sz="4" w:space="0" w:color="auto"/>
              <w:right w:val="single" w:sz="4" w:space="0" w:color="auto"/>
            </w:tcBorders>
            <w:vAlign w:val="center"/>
            <w:hideMark/>
          </w:tcPr>
          <w:p w14:paraId="29CB8186" w14:textId="77777777" w:rsidR="008C0A68" w:rsidRDefault="008C0A68" w:rsidP="00E41AB9">
            <w:pPr>
              <w:pStyle w:val="Default"/>
              <w:spacing w:line="256" w:lineRule="auto"/>
              <w:jc w:val="center"/>
              <w:rPr>
                <w:sz w:val="20"/>
                <w:szCs w:val="20"/>
              </w:rPr>
            </w:pPr>
            <w:r>
              <w:rPr>
                <w:sz w:val="20"/>
                <w:szCs w:val="20"/>
              </w:rPr>
              <w:t>B+</w:t>
            </w:r>
          </w:p>
        </w:tc>
        <w:tc>
          <w:tcPr>
            <w:tcW w:w="354" w:type="pct"/>
            <w:tcBorders>
              <w:top w:val="single" w:sz="4" w:space="0" w:color="auto"/>
              <w:left w:val="single" w:sz="4" w:space="0" w:color="auto"/>
              <w:bottom w:val="single" w:sz="4" w:space="0" w:color="auto"/>
              <w:right w:val="single" w:sz="4" w:space="0" w:color="auto"/>
            </w:tcBorders>
            <w:vAlign w:val="center"/>
            <w:hideMark/>
          </w:tcPr>
          <w:p w14:paraId="7F34AF0B" w14:textId="77777777" w:rsidR="008C0A68" w:rsidRDefault="008C0A68" w:rsidP="00E41AB9">
            <w:pPr>
              <w:pStyle w:val="Default"/>
              <w:spacing w:line="256" w:lineRule="auto"/>
              <w:jc w:val="center"/>
              <w:rPr>
                <w:sz w:val="20"/>
                <w:szCs w:val="20"/>
              </w:rPr>
            </w:pPr>
            <w:r>
              <w:rPr>
                <w:sz w:val="20"/>
                <w:szCs w:val="20"/>
              </w:rPr>
              <w:t>B1</w:t>
            </w:r>
          </w:p>
        </w:tc>
        <w:tc>
          <w:tcPr>
            <w:tcW w:w="369" w:type="pct"/>
            <w:tcBorders>
              <w:top w:val="single" w:sz="4" w:space="0" w:color="auto"/>
              <w:left w:val="single" w:sz="4" w:space="0" w:color="auto"/>
              <w:bottom w:val="single" w:sz="4" w:space="0" w:color="auto"/>
              <w:right w:val="single" w:sz="4" w:space="0" w:color="auto"/>
            </w:tcBorders>
            <w:vAlign w:val="center"/>
            <w:hideMark/>
          </w:tcPr>
          <w:p w14:paraId="232C3022" w14:textId="77777777" w:rsidR="008C0A68" w:rsidRDefault="008C0A68" w:rsidP="00E41AB9">
            <w:pPr>
              <w:pStyle w:val="Default"/>
              <w:spacing w:line="256" w:lineRule="auto"/>
              <w:jc w:val="center"/>
              <w:rPr>
                <w:sz w:val="20"/>
                <w:szCs w:val="20"/>
              </w:rPr>
            </w:pPr>
            <w:r>
              <w:rPr>
                <w:sz w:val="20"/>
                <w:szCs w:val="20"/>
              </w:rPr>
              <w:t>B+</w:t>
            </w:r>
          </w:p>
        </w:tc>
        <w:tc>
          <w:tcPr>
            <w:tcW w:w="413" w:type="pct"/>
            <w:tcBorders>
              <w:top w:val="single" w:sz="4" w:space="0" w:color="auto"/>
              <w:left w:val="single" w:sz="4" w:space="0" w:color="auto"/>
              <w:bottom w:val="single" w:sz="4" w:space="0" w:color="auto"/>
              <w:right w:val="single" w:sz="4" w:space="0" w:color="auto"/>
            </w:tcBorders>
            <w:vAlign w:val="center"/>
            <w:hideMark/>
          </w:tcPr>
          <w:p w14:paraId="713F5AFF" w14:textId="77777777" w:rsidR="008C0A68" w:rsidRDefault="008C0A68" w:rsidP="00E41AB9">
            <w:pPr>
              <w:pStyle w:val="Default"/>
              <w:spacing w:line="256" w:lineRule="auto"/>
              <w:jc w:val="center"/>
              <w:rPr>
                <w:sz w:val="20"/>
                <w:szCs w:val="20"/>
              </w:rPr>
            </w:pPr>
            <w:r>
              <w:rPr>
                <w:sz w:val="20"/>
                <w:szCs w:val="20"/>
              </w:rPr>
              <w:t>ruBBB</w:t>
            </w:r>
          </w:p>
        </w:tc>
        <w:tc>
          <w:tcPr>
            <w:tcW w:w="512" w:type="pct"/>
            <w:tcBorders>
              <w:top w:val="single" w:sz="4" w:space="0" w:color="auto"/>
              <w:left w:val="single" w:sz="4" w:space="0" w:color="auto"/>
              <w:bottom w:val="single" w:sz="4" w:space="0" w:color="auto"/>
              <w:right w:val="single" w:sz="4" w:space="0" w:color="auto"/>
            </w:tcBorders>
            <w:vAlign w:val="center"/>
            <w:hideMark/>
          </w:tcPr>
          <w:p w14:paraId="2692CFE4" w14:textId="77777777" w:rsidR="008C0A68" w:rsidRDefault="008C0A68" w:rsidP="00E41AB9">
            <w:pPr>
              <w:pStyle w:val="Default"/>
              <w:spacing w:line="256" w:lineRule="auto"/>
              <w:jc w:val="center"/>
              <w:rPr>
                <w:sz w:val="20"/>
                <w:szCs w:val="20"/>
              </w:rPr>
            </w:pPr>
            <w:r>
              <w:rPr>
                <w:sz w:val="20"/>
                <w:szCs w:val="20"/>
              </w:rPr>
              <w:t>BBB(RU)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693E1CFE" w14:textId="77777777" w:rsidR="008C0A68" w:rsidRDefault="008C0A68" w:rsidP="00E41AB9">
            <w:pPr>
              <w:ind w:firstLine="33"/>
              <w:jc w:val="center"/>
              <w:rPr>
                <w:color w:val="000000"/>
                <w:sz w:val="20"/>
              </w:rPr>
            </w:pPr>
            <w:r>
              <w:rPr>
                <w:bCs/>
                <w:sz w:val="20"/>
              </w:rPr>
              <w:t>BBB.ru</w:t>
            </w:r>
          </w:p>
        </w:tc>
        <w:tc>
          <w:tcPr>
            <w:tcW w:w="438" w:type="pct"/>
            <w:tcBorders>
              <w:top w:val="single" w:sz="4" w:space="0" w:color="auto"/>
              <w:left w:val="single" w:sz="4" w:space="0" w:color="auto"/>
              <w:bottom w:val="single" w:sz="4" w:space="0" w:color="auto"/>
              <w:right w:val="single" w:sz="4" w:space="0" w:color="auto"/>
            </w:tcBorders>
            <w:vAlign w:val="center"/>
            <w:hideMark/>
          </w:tcPr>
          <w:p w14:paraId="0EEB1AD6" w14:textId="77777777" w:rsidR="008C0A68" w:rsidRDefault="008C0A68" w:rsidP="00E41AB9">
            <w:pPr>
              <w:ind w:firstLine="33"/>
              <w:jc w:val="center"/>
              <w:rPr>
                <w:color w:val="000000"/>
                <w:sz w:val="20"/>
              </w:rPr>
            </w:pPr>
            <w:r>
              <w:rPr>
                <w:bCs/>
                <w:sz w:val="20"/>
              </w:rPr>
              <w:t>BBB|ru|</w:t>
            </w:r>
          </w:p>
        </w:tc>
        <w:tc>
          <w:tcPr>
            <w:tcW w:w="435" w:type="pct"/>
            <w:tcBorders>
              <w:top w:val="single" w:sz="4" w:space="0" w:color="auto"/>
              <w:left w:val="single" w:sz="4" w:space="0" w:color="auto"/>
              <w:bottom w:val="single" w:sz="4" w:space="0" w:color="auto"/>
              <w:right w:val="single" w:sz="4" w:space="0" w:color="auto"/>
            </w:tcBorders>
            <w:vAlign w:val="center"/>
            <w:hideMark/>
          </w:tcPr>
          <w:p w14:paraId="6C71400F" w14:textId="77777777" w:rsidR="008C0A68" w:rsidRDefault="008C0A68" w:rsidP="00E41AB9">
            <w:pPr>
              <w:ind w:firstLine="33"/>
              <w:jc w:val="center"/>
              <w:rPr>
                <w:color w:val="000000"/>
                <w:sz w:val="20"/>
              </w:rPr>
            </w:pPr>
            <w:r>
              <w:rPr>
                <w:color w:val="000000"/>
                <w:sz w:val="20"/>
              </w:rPr>
              <w:t>ВВВ</w:t>
            </w:r>
          </w:p>
        </w:tc>
        <w:tc>
          <w:tcPr>
            <w:tcW w:w="549" w:type="pct"/>
            <w:tcBorders>
              <w:top w:val="single" w:sz="4" w:space="0" w:color="auto"/>
              <w:left w:val="single" w:sz="4" w:space="0" w:color="auto"/>
              <w:bottom w:val="single" w:sz="4" w:space="0" w:color="auto"/>
              <w:right w:val="single" w:sz="4" w:space="0" w:color="auto"/>
            </w:tcBorders>
            <w:vAlign w:val="center"/>
            <w:hideMark/>
          </w:tcPr>
          <w:p w14:paraId="4FB361C1" w14:textId="77777777" w:rsidR="008C0A68" w:rsidRDefault="008C0A68" w:rsidP="00E41AB9">
            <w:pPr>
              <w:pStyle w:val="Default"/>
              <w:spacing w:line="256" w:lineRule="auto"/>
              <w:jc w:val="center"/>
              <w:rPr>
                <w:sz w:val="20"/>
                <w:szCs w:val="20"/>
              </w:rPr>
            </w:pPr>
            <w:r>
              <w:rPr>
                <w:sz w:val="20"/>
                <w:szCs w:val="20"/>
              </w:rPr>
              <w:t>1,57</w:t>
            </w:r>
          </w:p>
        </w:tc>
        <w:tc>
          <w:tcPr>
            <w:tcW w:w="549" w:type="pct"/>
            <w:tcBorders>
              <w:top w:val="single" w:sz="4" w:space="0" w:color="auto"/>
              <w:left w:val="single" w:sz="4" w:space="0" w:color="auto"/>
              <w:bottom w:val="single" w:sz="4" w:space="0" w:color="auto"/>
              <w:right w:val="single" w:sz="4" w:space="0" w:color="auto"/>
            </w:tcBorders>
            <w:vAlign w:val="center"/>
            <w:hideMark/>
          </w:tcPr>
          <w:p w14:paraId="2FBA0EF1" w14:textId="77777777" w:rsidR="008C0A68" w:rsidRDefault="008C0A68" w:rsidP="00E41AB9">
            <w:pPr>
              <w:pStyle w:val="Default"/>
              <w:spacing w:line="256" w:lineRule="auto"/>
              <w:jc w:val="center"/>
              <w:rPr>
                <w:sz w:val="20"/>
                <w:szCs w:val="20"/>
              </w:rPr>
            </w:pPr>
            <w:r>
              <w:rPr>
                <w:sz w:val="20"/>
                <w:szCs w:val="20"/>
              </w:rPr>
              <w:t>1,91</w:t>
            </w:r>
          </w:p>
        </w:tc>
      </w:tr>
      <w:tr w:rsidR="008C0A68" w14:paraId="189C618C"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1D30F6"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05EC0AD0" w14:textId="77777777" w:rsidR="008C0A68" w:rsidRDefault="008C0A68" w:rsidP="00E41AB9">
            <w:pPr>
              <w:pStyle w:val="Default"/>
              <w:spacing w:line="256" w:lineRule="auto"/>
              <w:jc w:val="center"/>
              <w:rPr>
                <w:sz w:val="20"/>
                <w:szCs w:val="20"/>
              </w:rPr>
            </w:pPr>
            <w:r>
              <w:rPr>
                <w:sz w:val="20"/>
                <w:szCs w:val="20"/>
              </w:rPr>
              <w:t>B</w:t>
            </w:r>
          </w:p>
        </w:tc>
        <w:tc>
          <w:tcPr>
            <w:tcW w:w="354" w:type="pct"/>
            <w:tcBorders>
              <w:top w:val="single" w:sz="4" w:space="0" w:color="auto"/>
              <w:left w:val="single" w:sz="4" w:space="0" w:color="auto"/>
              <w:bottom w:val="single" w:sz="4" w:space="0" w:color="auto"/>
              <w:right w:val="single" w:sz="4" w:space="0" w:color="auto"/>
            </w:tcBorders>
            <w:vAlign w:val="center"/>
            <w:hideMark/>
          </w:tcPr>
          <w:p w14:paraId="4B677EF1" w14:textId="77777777" w:rsidR="008C0A68" w:rsidRDefault="008C0A68" w:rsidP="00E41AB9">
            <w:pPr>
              <w:pStyle w:val="Default"/>
              <w:spacing w:line="256" w:lineRule="auto"/>
              <w:jc w:val="center"/>
              <w:rPr>
                <w:sz w:val="20"/>
                <w:szCs w:val="20"/>
              </w:rPr>
            </w:pPr>
            <w:r>
              <w:rPr>
                <w:sz w:val="20"/>
                <w:szCs w:val="20"/>
              </w:rPr>
              <w:t>B2</w:t>
            </w:r>
          </w:p>
        </w:tc>
        <w:tc>
          <w:tcPr>
            <w:tcW w:w="369" w:type="pct"/>
            <w:tcBorders>
              <w:top w:val="single" w:sz="4" w:space="0" w:color="auto"/>
              <w:left w:val="single" w:sz="4" w:space="0" w:color="auto"/>
              <w:bottom w:val="single" w:sz="4" w:space="0" w:color="auto"/>
              <w:right w:val="single" w:sz="4" w:space="0" w:color="auto"/>
            </w:tcBorders>
            <w:vAlign w:val="center"/>
            <w:hideMark/>
          </w:tcPr>
          <w:p w14:paraId="5C7DB1ED" w14:textId="77777777" w:rsidR="008C0A68" w:rsidRDefault="008C0A68" w:rsidP="00E41AB9">
            <w:pPr>
              <w:pStyle w:val="Default"/>
              <w:spacing w:line="256" w:lineRule="auto"/>
              <w:jc w:val="center"/>
              <w:rPr>
                <w:sz w:val="20"/>
                <w:szCs w:val="20"/>
              </w:rPr>
            </w:pPr>
            <w:r>
              <w:rPr>
                <w:sz w:val="20"/>
                <w:szCs w:val="20"/>
              </w:rPr>
              <w:t>B</w:t>
            </w:r>
          </w:p>
        </w:tc>
        <w:tc>
          <w:tcPr>
            <w:tcW w:w="413" w:type="pct"/>
            <w:tcBorders>
              <w:top w:val="single" w:sz="4" w:space="0" w:color="auto"/>
              <w:left w:val="single" w:sz="4" w:space="0" w:color="auto"/>
              <w:bottom w:val="single" w:sz="4" w:space="0" w:color="auto"/>
              <w:right w:val="single" w:sz="4" w:space="0" w:color="auto"/>
            </w:tcBorders>
            <w:vAlign w:val="center"/>
            <w:hideMark/>
          </w:tcPr>
          <w:p w14:paraId="5D1FAAC9" w14:textId="77777777" w:rsidR="008C0A68" w:rsidRDefault="008C0A68" w:rsidP="00E41AB9">
            <w:pPr>
              <w:pStyle w:val="Default"/>
              <w:spacing w:line="256" w:lineRule="auto"/>
              <w:jc w:val="center"/>
              <w:rPr>
                <w:sz w:val="20"/>
                <w:szCs w:val="20"/>
              </w:rPr>
            </w:pPr>
            <w:r>
              <w:rPr>
                <w:sz w:val="20"/>
                <w:szCs w:val="20"/>
              </w:rPr>
              <w:t>ruBBB-, ruBB+</w:t>
            </w:r>
          </w:p>
        </w:tc>
        <w:tc>
          <w:tcPr>
            <w:tcW w:w="512" w:type="pct"/>
            <w:tcBorders>
              <w:top w:val="single" w:sz="4" w:space="0" w:color="auto"/>
              <w:left w:val="single" w:sz="4" w:space="0" w:color="auto"/>
              <w:bottom w:val="single" w:sz="4" w:space="0" w:color="auto"/>
              <w:right w:val="single" w:sz="4" w:space="0" w:color="auto"/>
            </w:tcBorders>
            <w:vAlign w:val="center"/>
            <w:hideMark/>
          </w:tcPr>
          <w:p w14:paraId="22E7CB1F" w14:textId="77777777" w:rsidR="008C0A68" w:rsidRDefault="008C0A68" w:rsidP="00E41AB9">
            <w:pPr>
              <w:pStyle w:val="Default"/>
              <w:spacing w:line="256" w:lineRule="auto"/>
              <w:jc w:val="center"/>
              <w:rPr>
                <w:sz w:val="20"/>
                <w:szCs w:val="20"/>
              </w:rPr>
            </w:pPr>
            <w:r>
              <w:rPr>
                <w:sz w:val="20"/>
                <w:szCs w:val="20"/>
              </w:rPr>
              <w:t>BBB-(RU)</w:t>
            </w:r>
            <w:r>
              <w:rPr>
                <w:sz w:val="20"/>
                <w:szCs w:val="20"/>
              </w:rPr>
              <w:br/>
              <w:t>BB+(RU)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31681F88" w14:textId="77777777" w:rsidR="008C0A68" w:rsidRDefault="008C0A68" w:rsidP="00E41AB9">
            <w:pPr>
              <w:ind w:firstLine="33"/>
              <w:jc w:val="center"/>
              <w:rPr>
                <w:color w:val="000000"/>
                <w:sz w:val="20"/>
              </w:rPr>
            </w:pPr>
            <w:r>
              <w:rPr>
                <w:bCs/>
                <w:sz w:val="20"/>
              </w:rPr>
              <w:t>BBB-.ru, BB+.ru</w:t>
            </w:r>
          </w:p>
        </w:tc>
        <w:tc>
          <w:tcPr>
            <w:tcW w:w="438" w:type="pct"/>
            <w:tcBorders>
              <w:top w:val="single" w:sz="4" w:space="0" w:color="auto"/>
              <w:left w:val="single" w:sz="4" w:space="0" w:color="auto"/>
              <w:bottom w:val="single" w:sz="4" w:space="0" w:color="auto"/>
              <w:right w:val="single" w:sz="4" w:space="0" w:color="auto"/>
            </w:tcBorders>
            <w:vAlign w:val="center"/>
            <w:hideMark/>
          </w:tcPr>
          <w:p w14:paraId="028E71E3" w14:textId="77777777" w:rsidR="008C0A68" w:rsidRDefault="008C0A68" w:rsidP="00E41AB9">
            <w:pPr>
              <w:ind w:firstLine="33"/>
              <w:jc w:val="center"/>
              <w:rPr>
                <w:color w:val="000000"/>
                <w:sz w:val="20"/>
              </w:rPr>
            </w:pPr>
            <w:r>
              <w:rPr>
                <w:bCs/>
                <w:sz w:val="20"/>
              </w:rPr>
              <w:t>BBB-|ru|</w:t>
            </w:r>
            <w:r>
              <w:rPr>
                <w:bCs/>
                <w:sz w:val="20"/>
              </w:rPr>
              <w:br/>
              <w:t>BB+|ru|</w:t>
            </w:r>
          </w:p>
        </w:tc>
        <w:tc>
          <w:tcPr>
            <w:tcW w:w="435" w:type="pct"/>
            <w:tcBorders>
              <w:top w:val="single" w:sz="4" w:space="0" w:color="auto"/>
              <w:left w:val="single" w:sz="4" w:space="0" w:color="auto"/>
              <w:bottom w:val="single" w:sz="4" w:space="0" w:color="auto"/>
              <w:right w:val="single" w:sz="4" w:space="0" w:color="auto"/>
            </w:tcBorders>
            <w:vAlign w:val="center"/>
            <w:hideMark/>
          </w:tcPr>
          <w:p w14:paraId="2DB3BDE6" w14:textId="77777777" w:rsidR="008C0A68" w:rsidRDefault="008C0A68" w:rsidP="00E41AB9">
            <w:pPr>
              <w:ind w:firstLine="33"/>
              <w:jc w:val="center"/>
              <w:rPr>
                <w:color w:val="000000"/>
                <w:sz w:val="20"/>
              </w:rPr>
            </w:pPr>
            <w:r>
              <w:rPr>
                <w:color w:val="000000"/>
                <w:sz w:val="20"/>
              </w:rPr>
              <w:t>BВ</w:t>
            </w:r>
          </w:p>
        </w:tc>
        <w:tc>
          <w:tcPr>
            <w:tcW w:w="549" w:type="pct"/>
            <w:tcBorders>
              <w:top w:val="single" w:sz="4" w:space="0" w:color="auto"/>
              <w:left w:val="single" w:sz="4" w:space="0" w:color="auto"/>
              <w:bottom w:val="single" w:sz="4" w:space="0" w:color="auto"/>
              <w:right w:val="single" w:sz="4" w:space="0" w:color="auto"/>
            </w:tcBorders>
            <w:vAlign w:val="center"/>
            <w:hideMark/>
          </w:tcPr>
          <w:p w14:paraId="6388EF61" w14:textId="77777777" w:rsidR="008C0A68" w:rsidRDefault="008C0A68" w:rsidP="00E41AB9">
            <w:pPr>
              <w:pStyle w:val="Default"/>
              <w:spacing w:line="256" w:lineRule="auto"/>
              <w:jc w:val="center"/>
              <w:rPr>
                <w:sz w:val="20"/>
                <w:szCs w:val="20"/>
              </w:rPr>
            </w:pPr>
            <w:r>
              <w:rPr>
                <w:sz w:val="20"/>
                <w:szCs w:val="20"/>
              </w:rPr>
              <w:t>4,27</w:t>
            </w:r>
          </w:p>
        </w:tc>
        <w:tc>
          <w:tcPr>
            <w:tcW w:w="549" w:type="pct"/>
            <w:tcBorders>
              <w:top w:val="single" w:sz="4" w:space="0" w:color="auto"/>
              <w:left w:val="single" w:sz="4" w:space="0" w:color="auto"/>
              <w:bottom w:val="single" w:sz="4" w:space="0" w:color="auto"/>
              <w:right w:val="single" w:sz="4" w:space="0" w:color="auto"/>
            </w:tcBorders>
            <w:vAlign w:val="center"/>
            <w:hideMark/>
          </w:tcPr>
          <w:p w14:paraId="17545061" w14:textId="77777777" w:rsidR="008C0A68" w:rsidRDefault="008C0A68" w:rsidP="00E41AB9">
            <w:pPr>
              <w:pStyle w:val="Default"/>
              <w:spacing w:line="256" w:lineRule="auto"/>
              <w:jc w:val="center"/>
              <w:rPr>
                <w:sz w:val="20"/>
                <w:szCs w:val="20"/>
              </w:rPr>
            </w:pPr>
            <w:r>
              <w:rPr>
                <w:sz w:val="20"/>
                <w:szCs w:val="20"/>
              </w:rPr>
              <w:t>2,85</w:t>
            </w:r>
          </w:p>
        </w:tc>
      </w:tr>
      <w:tr w:rsidR="008C0A68" w14:paraId="1A1827C9" w14:textId="77777777" w:rsidTr="00E41AB9">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56F633"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1D2FE12A" w14:textId="77777777" w:rsidR="008C0A68" w:rsidRDefault="008C0A68" w:rsidP="00E41AB9">
            <w:pPr>
              <w:pStyle w:val="Default"/>
              <w:spacing w:line="256" w:lineRule="auto"/>
              <w:jc w:val="center"/>
              <w:rPr>
                <w:sz w:val="20"/>
                <w:szCs w:val="20"/>
              </w:rPr>
            </w:pPr>
            <w:r>
              <w:rPr>
                <w:sz w:val="20"/>
                <w:szCs w:val="20"/>
              </w:rPr>
              <w:t>B-</w:t>
            </w:r>
          </w:p>
        </w:tc>
        <w:tc>
          <w:tcPr>
            <w:tcW w:w="354" w:type="pct"/>
            <w:tcBorders>
              <w:top w:val="single" w:sz="4" w:space="0" w:color="auto"/>
              <w:left w:val="single" w:sz="4" w:space="0" w:color="auto"/>
              <w:bottom w:val="single" w:sz="4" w:space="0" w:color="auto"/>
              <w:right w:val="single" w:sz="4" w:space="0" w:color="auto"/>
            </w:tcBorders>
            <w:vAlign w:val="center"/>
            <w:hideMark/>
          </w:tcPr>
          <w:p w14:paraId="50DDCB8B" w14:textId="77777777" w:rsidR="008C0A68" w:rsidRDefault="008C0A68" w:rsidP="00E41AB9">
            <w:pPr>
              <w:pStyle w:val="Default"/>
              <w:spacing w:line="256" w:lineRule="auto"/>
              <w:jc w:val="center"/>
              <w:rPr>
                <w:sz w:val="20"/>
                <w:szCs w:val="20"/>
              </w:rPr>
            </w:pPr>
            <w:r>
              <w:rPr>
                <w:sz w:val="20"/>
                <w:szCs w:val="20"/>
              </w:rPr>
              <w:t>B3</w:t>
            </w:r>
          </w:p>
        </w:tc>
        <w:tc>
          <w:tcPr>
            <w:tcW w:w="369" w:type="pct"/>
            <w:tcBorders>
              <w:top w:val="single" w:sz="4" w:space="0" w:color="auto"/>
              <w:left w:val="single" w:sz="4" w:space="0" w:color="auto"/>
              <w:bottom w:val="single" w:sz="4" w:space="0" w:color="auto"/>
              <w:right w:val="single" w:sz="4" w:space="0" w:color="auto"/>
            </w:tcBorders>
            <w:vAlign w:val="center"/>
            <w:hideMark/>
          </w:tcPr>
          <w:p w14:paraId="67D671AE" w14:textId="77777777" w:rsidR="008C0A68" w:rsidRDefault="008C0A68" w:rsidP="00E41AB9">
            <w:pPr>
              <w:pStyle w:val="Default"/>
              <w:spacing w:line="256" w:lineRule="auto"/>
              <w:jc w:val="center"/>
              <w:rPr>
                <w:sz w:val="20"/>
                <w:szCs w:val="20"/>
              </w:rPr>
            </w:pPr>
            <w:r>
              <w:rPr>
                <w:sz w:val="20"/>
                <w:szCs w:val="20"/>
              </w:rPr>
              <w:t>B-</w:t>
            </w:r>
          </w:p>
        </w:tc>
        <w:tc>
          <w:tcPr>
            <w:tcW w:w="413" w:type="pct"/>
            <w:tcBorders>
              <w:top w:val="single" w:sz="4" w:space="0" w:color="auto"/>
              <w:left w:val="single" w:sz="4" w:space="0" w:color="auto"/>
              <w:bottom w:val="single" w:sz="4" w:space="0" w:color="auto"/>
              <w:right w:val="single" w:sz="4" w:space="0" w:color="auto"/>
            </w:tcBorders>
            <w:vAlign w:val="center"/>
            <w:hideMark/>
          </w:tcPr>
          <w:p w14:paraId="28D4066A" w14:textId="77777777" w:rsidR="008C0A68" w:rsidRDefault="008C0A68" w:rsidP="00E41AB9">
            <w:pPr>
              <w:pStyle w:val="Default"/>
              <w:spacing w:line="256" w:lineRule="auto"/>
              <w:jc w:val="center"/>
              <w:rPr>
                <w:sz w:val="20"/>
                <w:szCs w:val="20"/>
              </w:rPr>
            </w:pPr>
            <w:r>
              <w:rPr>
                <w:sz w:val="20"/>
                <w:szCs w:val="20"/>
              </w:rPr>
              <w:t>ruBB</w:t>
            </w:r>
          </w:p>
        </w:tc>
        <w:tc>
          <w:tcPr>
            <w:tcW w:w="512" w:type="pct"/>
            <w:tcBorders>
              <w:top w:val="single" w:sz="4" w:space="0" w:color="auto"/>
              <w:left w:val="single" w:sz="4" w:space="0" w:color="auto"/>
              <w:bottom w:val="single" w:sz="4" w:space="0" w:color="auto"/>
              <w:right w:val="single" w:sz="4" w:space="0" w:color="auto"/>
            </w:tcBorders>
            <w:vAlign w:val="center"/>
            <w:hideMark/>
          </w:tcPr>
          <w:p w14:paraId="6906E10E" w14:textId="77777777" w:rsidR="008C0A68" w:rsidRDefault="008C0A68" w:rsidP="00E41AB9">
            <w:pPr>
              <w:pStyle w:val="Default"/>
              <w:spacing w:line="256" w:lineRule="auto"/>
              <w:jc w:val="center"/>
              <w:rPr>
                <w:sz w:val="20"/>
                <w:szCs w:val="20"/>
              </w:rPr>
            </w:pPr>
            <w:r>
              <w:rPr>
                <w:sz w:val="20"/>
                <w:szCs w:val="20"/>
              </w:rPr>
              <w:t>BB(RU)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47F4BA0A" w14:textId="77777777" w:rsidR="008C0A68" w:rsidRDefault="008C0A68" w:rsidP="00E41AB9">
            <w:pPr>
              <w:ind w:firstLine="33"/>
              <w:jc w:val="center"/>
              <w:rPr>
                <w:color w:val="000000"/>
                <w:sz w:val="20"/>
              </w:rPr>
            </w:pPr>
            <w:r>
              <w:rPr>
                <w:bCs/>
                <w:sz w:val="20"/>
              </w:rPr>
              <w:t>BB.ru</w:t>
            </w:r>
          </w:p>
        </w:tc>
        <w:tc>
          <w:tcPr>
            <w:tcW w:w="438" w:type="pct"/>
            <w:tcBorders>
              <w:top w:val="single" w:sz="4" w:space="0" w:color="auto"/>
              <w:left w:val="single" w:sz="4" w:space="0" w:color="auto"/>
              <w:bottom w:val="single" w:sz="4" w:space="0" w:color="auto"/>
              <w:right w:val="single" w:sz="4" w:space="0" w:color="auto"/>
            </w:tcBorders>
            <w:vAlign w:val="center"/>
            <w:hideMark/>
          </w:tcPr>
          <w:p w14:paraId="1291F750" w14:textId="77777777" w:rsidR="008C0A68" w:rsidRDefault="008C0A68" w:rsidP="00E41AB9">
            <w:pPr>
              <w:ind w:firstLine="33"/>
              <w:jc w:val="center"/>
              <w:rPr>
                <w:color w:val="000000"/>
                <w:sz w:val="20"/>
              </w:rPr>
            </w:pPr>
            <w:r>
              <w:rPr>
                <w:bCs/>
                <w:sz w:val="20"/>
              </w:rPr>
              <w:t>BB|ru|</w:t>
            </w:r>
          </w:p>
        </w:tc>
        <w:tc>
          <w:tcPr>
            <w:tcW w:w="435" w:type="pct"/>
            <w:tcBorders>
              <w:top w:val="single" w:sz="4" w:space="0" w:color="auto"/>
              <w:left w:val="single" w:sz="4" w:space="0" w:color="auto"/>
              <w:bottom w:val="single" w:sz="4" w:space="0" w:color="auto"/>
              <w:right w:val="single" w:sz="4" w:space="0" w:color="auto"/>
            </w:tcBorders>
            <w:vAlign w:val="center"/>
            <w:hideMark/>
          </w:tcPr>
          <w:p w14:paraId="04C97E33" w14:textId="77777777" w:rsidR="008C0A68" w:rsidRDefault="008C0A68" w:rsidP="00E41AB9">
            <w:pPr>
              <w:ind w:firstLine="33"/>
              <w:jc w:val="center"/>
              <w:rPr>
                <w:color w:val="000000"/>
                <w:sz w:val="20"/>
              </w:rPr>
            </w:pPr>
            <w:r>
              <w:rPr>
                <w:color w:val="000000"/>
                <w:sz w:val="20"/>
              </w:rPr>
              <w:t>В</w:t>
            </w:r>
          </w:p>
        </w:tc>
        <w:tc>
          <w:tcPr>
            <w:tcW w:w="549" w:type="pct"/>
            <w:tcBorders>
              <w:top w:val="single" w:sz="4" w:space="0" w:color="auto"/>
              <w:left w:val="single" w:sz="4" w:space="0" w:color="auto"/>
              <w:bottom w:val="single" w:sz="4" w:space="0" w:color="auto"/>
              <w:right w:val="single" w:sz="4" w:space="0" w:color="auto"/>
            </w:tcBorders>
            <w:vAlign w:val="center"/>
            <w:hideMark/>
          </w:tcPr>
          <w:p w14:paraId="40FB1E9A" w14:textId="77777777" w:rsidR="008C0A68" w:rsidRDefault="008C0A68" w:rsidP="00E41AB9">
            <w:pPr>
              <w:pStyle w:val="Default"/>
              <w:spacing w:line="256" w:lineRule="auto"/>
              <w:jc w:val="center"/>
              <w:rPr>
                <w:sz w:val="20"/>
                <w:szCs w:val="20"/>
              </w:rPr>
            </w:pPr>
            <w:r>
              <w:rPr>
                <w:sz w:val="20"/>
                <w:szCs w:val="20"/>
              </w:rPr>
              <w:t>5,29</w:t>
            </w:r>
          </w:p>
        </w:tc>
        <w:tc>
          <w:tcPr>
            <w:tcW w:w="549" w:type="pct"/>
            <w:tcBorders>
              <w:top w:val="single" w:sz="4" w:space="0" w:color="auto"/>
              <w:left w:val="single" w:sz="4" w:space="0" w:color="auto"/>
              <w:bottom w:val="single" w:sz="4" w:space="0" w:color="auto"/>
              <w:right w:val="single" w:sz="4" w:space="0" w:color="auto"/>
            </w:tcBorders>
            <w:vAlign w:val="center"/>
            <w:hideMark/>
          </w:tcPr>
          <w:p w14:paraId="7CD1DCFF" w14:textId="77777777" w:rsidR="008C0A68" w:rsidRDefault="008C0A68" w:rsidP="00E41AB9">
            <w:pPr>
              <w:pStyle w:val="Default"/>
              <w:spacing w:line="256" w:lineRule="auto"/>
              <w:jc w:val="center"/>
              <w:rPr>
                <w:sz w:val="20"/>
                <w:szCs w:val="20"/>
              </w:rPr>
            </w:pPr>
            <w:r>
              <w:rPr>
                <w:sz w:val="20"/>
                <w:szCs w:val="20"/>
              </w:rPr>
              <w:t>5,53</w:t>
            </w:r>
          </w:p>
        </w:tc>
      </w:tr>
      <w:tr w:rsidR="008C0A68" w14:paraId="2D8649DF" w14:textId="77777777" w:rsidTr="00E41AB9">
        <w:trPr>
          <w:trHeight w:val="247"/>
        </w:trPr>
        <w:tc>
          <w:tcPr>
            <w:tcW w:w="582" w:type="pct"/>
            <w:vMerge w:val="restart"/>
            <w:tcBorders>
              <w:top w:val="single" w:sz="4" w:space="0" w:color="auto"/>
              <w:left w:val="single" w:sz="4" w:space="0" w:color="auto"/>
              <w:bottom w:val="single" w:sz="4" w:space="0" w:color="auto"/>
              <w:right w:val="single" w:sz="4" w:space="0" w:color="auto"/>
            </w:tcBorders>
            <w:vAlign w:val="center"/>
            <w:hideMark/>
          </w:tcPr>
          <w:p w14:paraId="2BBB1B51"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III</w:t>
            </w:r>
          </w:p>
        </w:tc>
        <w:tc>
          <w:tcPr>
            <w:tcW w:w="353" w:type="pct"/>
            <w:tcBorders>
              <w:top w:val="single" w:sz="4" w:space="0" w:color="auto"/>
              <w:left w:val="single" w:sz="4" w:space="0" w:color="auto"/>
              <w:bottom w:val="single" w:sz="4" w:space="0" w:color="auto"/>
              <w:right w:val="single" w:sz="4" w:space="0" w:color="auto"/>
            </w:tcBorders>
            <w:vAlign w:val="center"/>
            <w:hideMark/>
          </w:tcPr>
          <w:p w14:paraId="4413CF56" w14:textId="77777777" w:rsidR="008C0A68" w:rsidRDefault="008C0A68" w:rsidP="00E41AB9">
            <w:pPr>
              <w:pStyle w:val="Default"/>
              <w:spacing w:line="256" w:lineRule="auto"/>
              <w:jc w:val="center"/>
              <w:rPr>
                <w:sz w:val="20"/>
                <w:szCs w:val="20"/>
              </w:rPr>
            </w:pPr>
            <w:r>
              <w:rPr>
                <w:sz w:val="20"/>
                <w:szCs w:val="20"/>
              </w:rPr>
              <w:t>CCC/С</w:t>
            </w:r>
          </w:p>
        </w:tc>
        <w:tc>
          <w:tcPr>
            <w:tcW w:w="354" w:type="pct"/>
            <w:tcBorders>
              <w:top w:val="single" w:sz="4" w:space="0" w:color="auto"/>
              <w:left w:val="single" w:sz="4" w:space="0" w:color="auto"/>
              <w:bottom w:val="single" w:sz="4" w:space="0" w:color="auto"/>
              <w:right w:val="single" w:sz="4" w:space="0" w:color="auto"/>
            </w:tcBorders>
            <w:vAlign w:val="center"/>
            <w:hideMark/>
          </w:tcPr>
          <w:p w14:paraId="4705F913" w14:textId="77777777" w:rsidR="008C0A68" w:rsidRDefault="008C0A68" w:rsidP="00E41AB9">
            <w:pPr>
              <w:pStyle w:val="Default"/>
              <w:spacing w:line="256" w:lineRule="auto"/>
              <w:jc w:val="center"/>
              <w:rPr>
                <w:sz w:val="20"/>
                <w:szCs w:val="20"/>
              </w:rPr>
            </w:pPr>
            <w:r>
              <w:rPr>
                <w:sz w:val="20"/>
                <w:szCs w:val="20"/>
              </w:rPr>
              <w:t>Caa-C</w:t>
            </w:r>
          </w:p>
        </w:tc>
        <w:tc>
          <w:tcPr>
            <w:tcW w:w="369" w:type="pct"/>
            <w:tcBorders>
              <w:top w:val="single" w:sz="4" w:space="0" w:color="auto"/>
              <w:left w:val="single" w:sz="4" w:space="0" w:color="auto"/>
              <w:bottom w:val="single" w:sz="4" w:space="0" w:color="auto"/>
              <w:right w:val="single" w:sz="4" w:space="0" w:color="auto"/>
            </w:tcBorders>
            <w:vAlign w:val="center"/>
            <w:hideMark/>
          </w:tcPr>
          <w:p w14:paraId="4B3117C8" w14:textId="77777777" w:rsidR="008C0A68" w:rsidRDefault="008C0A68" w:rsidP="00E41AB9">
            <w:pPr>
              <w:pStyle w:val="Default"/>
              <w:spacing w:line="256" w:lineRule="auto"/>
              <w:jc w:val="center"/>
              <w:rPr>
                <w:sz w:val="20"/>
                <w:szCs w:val="20"/>
              </w:rPr>
            </w:pPr>
            <w:r>
              <w:rPr>
                <w:sz w:val="20"/>
                <w:szCs w:val="20"/>
              </w:rPr>
              <w:t>CCC-С</w:t>
            </w:r>
          </w:p>
        </w:tc>
        <w:tc>
          <w:tcPr>
            <w:tcW w:w="413" w:type="pct"/>
            <w:tcBorders>
              <w:top w:val="single" w:sz="4" w:space="0" w:color="auto"/>
              <w:left w:val="single" w:sz="4" w:space="0" w:color="auto"/>
              <w:bottom w:val="single" w:sz="4" w:space="0" w:color="auto"/>
              <w:right w:val="single" w:sz="4" w:space="0" w:color="auto"/>
            </w:tcBorders>
            <w:vAlign w:val="center"/>
            <w:hideMark/>
          </w:tcPr>
          <w:p w14:paraId="356A313E" w14:textId="77777777" w:rsidR="008C0A68" w:rsidRDefault="008C0A68" w:rsidP="00E41AB9">
            <w:pPr>
              <w:pStyle w:val="Default"/>
              <w:spacing w:line="256" w:lineRule="auto"/>
              <w:jc w:val="center"/>
              <w:rPr>
                <w:sz w:val="20"/>
                <w:szCs w:val="20"/>
              </w:rPr>
            </w:pPr>
            <w:r>
              <w:rPr>
                <w:sz w:val="20"/>
                <w:szCs w:val="20"/>
              </w:rPr>
              <w:t>ruBB- и ниже</w:t>
            </w:r>
          </w:p>
        </w:tc>
        <w:tc>
          <w:tcPr>
            <w:tcW w:w="512" w:type="pct"/>
            <w:tcBorders>
              <w:top w:val="single" w:sz="4" w:space="0" w:color="auto"/>
              <w:left w:val="single" w:sz="4" w:space="0" w:color="auto"/>
              <w:bottom w:val="single" w:sz="4" w:space="0" w:color="auto"/>
              <w:right w:val="single" w:sz="4" w:space="0" w:color="auto"/>
            </w:tcBorders>
            <w:vAlign w:val="center"/>
            <w:hideMark/>
          </w:tcPr>
          <w:p w14:paraId="45EFEC58" w14:textId="77777777" w:rsidR="008C0A68" w:rsidRDefault="008C0A68" w:rsidP="00E41AB9">
            <w:pPr>
              <w:pStyle w:val="Default"/>
              <w:spacing w:line="256" w:lineRule="auto"/>
              <w:jc w:val="center"/>
              <w:rPr>
                <w:sz w:val="20"/>
                <w:szCs w:val="20"/>
              </w:rPr>
            </w:pPr>
            <w:r>
              <w:rPr>
                <w:sz w:val="20"/>
                <w:szCs w:val="20"/>
              </w:rPr>
              <w:t>BB-(RU) и ниже</w:t>
            </w:r>
          </w:p>
        </w:tc>
        <w:tc>
          <w:tcPr>
            <w:tcW w:w="445" w:type="pct"/>
            <w:tcBorders>
              <w:top w:val="single" w:sz="4" w:space="0" w:color="auto"/>
              <w:left w:val="single" w:sz="4" w:space="0" w:color="auto"/>
              <w:bottom w:val="single" w:sz="4" w:space="0" w:color="auto"/>
              <w:right w:val="single" w:sz="4" w:space="0" w:color="auto"/>
            </w:tcBorders>
            <w:hideMark/>
          </w:tcPr>
          <w:p w14:paraId="204AB720" w14:textId="77777777" w:rsidR="008C0A68" w:rsidRDefault="008C0A68" w:rsidP="00E41AB9">
            <w:pPr>
              <w:ind w:firstLine="33"/>
              <w:jc w:val="center"/>
              <w:rPr>
                <w:color w:val="000000"/>
                <w:sz w:val="20"/>
              </w:rPr>
            </w:pPr>
            <w:r>
              <w:rPr>
                <w:bCs/>
                <w:sz w:val="20"/>
              </w:rPr>
              <w:t xml:space="preserve">BB-.ru </w:t>
            </w:r>
            <w:r>
              <w:rPr>
                <w:sz w:val="20"/>
              </w:rPr>
              <w:t>и ниже</w:t>
            </w:r>
          </w:p>
        </w:tc>
        <w:tc>
          <w:tcPr>
            <w:tcW w:w="438" w:type="pct"/>
            <w:tcBorders>
              <w:top w:val="single" w:sz="4" w:space="0" w:color="auto"/>
              <w:left w:val="single" w:sz="4" w:space="0" w:color="auto"/>
              <w:bottom w:val="single" w:sz="4" w:space="0" w:color="auto"/>
              <w:right w:val="single" w:sz="4" w:space="0" w:color="auto"/>
            </w:tcBorders>
            <w:hideMark/>
          </w:tcPr>
          <w:p w14:paraId="6D600137" w14:textId="77777777" w:rsidR="008C0A68" w:rsidRDefault="008C0A68" w:rsidP="00E41AB9">
            <w:pPr>
              <w:ind w:firstLine="33"/>
              <w:jc w:val="center"/>
              <w:rPr>
                <w:color w:val="000000"/>
                <w:sz w:val="20"/>
              </w:rPr>
            </w:pPr>
            <w:r>
              <w:rPr>
                <w:bCs/>
                <w:sz w:val="20"/>
              </w:rPr>
              <w:t>BB</w:t>
            </w:r>
            <w:r>
              <w:rPr>
                <w:bCs/>
                <w:sz w:val="20"/>
                <w:lang w:val="en-US"/>
              </w:rPr>
              <w:t>-</w:t>
            </w:r>
            <w:r>
              <w:rPr>
                <w:bCs/>
                <w:sz w:val="20"/>
              </w:rPr>
              <w:t>|ru|</w:t>
            </w:r>
            <w:r>
              <w:rPr>
                <w:bCs/>
                <w:sz w:val="20"/>
                <w:lang w:val="en-US"/>
              </w:rPr>
              <w:t xml:space="preserve"> </w:t>
            </w:r>
            <w:r>
              <w:rPr>
                <w:bCs/>
                <w:sz w:val="20"/>
              </w:rPr>
              <w:t>и ниже</w:t>
            </w:r>
          </w:p>
        </w:tc>
        <w:tc>
          <w:tcPr>
            <w:tcW w:w="435" w:type="pct"/>
            <w:tcBorders>
              <w:top w:val="single" w:sz="4" w:space="0" w:color="auto"/>
              <w:left w:val="single" w:sz="4" w:space="0" w:color="auto"/>
              <w:bottom w:val="single" w:sz="4" w:space="0" w:color="auto"/>
              <w:right w:val="single" w:sz="4" w:space="0" w:color="auto"/>
            </w:tcBorders>
            <w:vAlign w:val="center"/>
            <w:hideMark/>
          </w:tcPr>
          <w:p w14:paraId="171B9CD6" w14:textId="77777777" w:rsidR="008C0A68" w:rsidRDefault="008C0A68" w:rsidP="00E41AB9">
            <w:pPr>
              <w:ind w:firstLine="33"/>
              <w:jc w:val="center"/>
              <w:rPr>
                <w:color w:val="000000"/>
                <w:sz w:val="20"/>
              </w:rPr>
            </w:pPr>
            <w:r>
              <w:rPr>
                <w:color w:val="000000"/>
                <w:sz w:val="20"/>
              </w:rPr>
              <w:t>ССС</w:t>
            </w:r>
          </w:p>
        </w:tc>
        <w:tc>
          <w:tcPr>
            <w:tcW w:w="549" w:type="pct"/>
            <w:tcBorders>
              <w:top w:val="single" w:sz="4" w:space="0" w:color="auto"/>
              <w:left w:val="single" w:sz="4" w:space="0" w:color="auto"/>
              <w:bottom w:val="single" w:sz="4" w:space="0" w:color="auto"/>
              <w:right w:val="single" w:sz="4" w:space="0" w:color="auto"/>
            </w:tcBorders>
            <w:vAlign w:val="center"/>
            <w:hideMark/>
          </w:tcPr>
          <w:p w14:paraId="195C68FA" w14:textId="77777777" w:rsidR="008C0A68" w:rsidRDefault="008C0A68" w:rsidP="00E41AB9">
            <w:pPr>
              <w:pStyle w:val="Default"/>
              <w:spacing w:line="256" w:lineRule="auto"/>
              <w:jc w:val="center"/>
              <w:rPr>
                <w:sz w:val="20"/>
                <w:szCs w:val="20"/>
              </w:rPr>
            </w:pPr>
            <w:r>
              <w:rPr>
                <w:sz w:val="20"/>
                <w:szCs w:val="20"/>
              </w:rPr>
              <w:t>13,64</w:t>
            </w:r>
          </w:p>
        </w:tc>
        <w:tc>
          <w:tcPr>
            <w:tcW w:w="549" w:type="pct"/>
            <w:tcBorders>
              <w:top w:val="single" w:sz="4" w:space="0" w:color="auto"/>
              <w:left w:val="single" w:sz="4" w:space="0" w:color="auto"/>
              <w:bottom w:val="single" w:sz="4" w:space="0" w:color="auto"/>
              <w:right w:val="single" w:sz="4" w:space="0" w:color="auto"/>
            </w:tcBorders>
            <w:vAlign w:val="center"/>
            <w:hideMark/>
          </w:tcPr>
          <w:p w14:paraId="0934113F" w14:textId="77777777" w:rsidR="008C0A68" w:rsidRDefault="008C0A68" w:rsidP="00E41AB9">
            <w:pPr>
              <w:pStyle w:val="Default"/>
              <w:spacing w:line="256" w:lineRule="auto"/>
              <w:jc w:val="center"/>
              <w:rPr>
                <w:sz w:val="20"/>
                <w:szCs w:val="20"/>
              </w:rPr>
            </w:pPr>
            <w:r>
              <w:rPr>
                <w:sz w:val="20"/>
                <w:szCs w:val="20"/>
              </w:rPr>
              <w:t>25,70</w:t>
            </w:r>
          </w:p>
        </w:tc>
      </w:tr>
      <w:tr w:rsidR="008C0A68" w14:paraId="5187D369"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CCBB65"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tcPr>
          <w:p w14:paraId="303DBAD4" w14:textId="77777777" w:rsidR="008C0A68" w:rsidRDefault="008C0A68" w:rsidP="00E41AB9">
            <w:pPr>
              <w:pStyle w:val="Default"/>
              <w:spacing w:line="256" w:lineRule="auto"/>
              <w:jc w:val="center"/>
              <w:rPr>
                <w:sz w:val="20"/>
                <w:szCs w:val="20"/>
              </w:rPr>
            </w:pPr>
          </w:p>
        </w:tc>
        <w:tc>
          <w:tcPr>
            <w:tcW w:w="354" w:type="pct"/>
            <w:tcBorders>
              <w:top w:val="single" w:sz="4" w:space="0" w:color="auto"/>
              <w:left w:val="single" w:sz="4" w:space="0" w:color="auto"/>
              <w:bottom w:val="single" w:sz="4" w:space="0" w:color="auto"/>
              <w:right w:val="single" w:sz="4" w:space="0" w:color="auto"/>
            </w:tcBorders>
            <w:vAlign w:val="center"/>
          </w:tcPr>
          <w:p w14:paraId="4B352624" w14:textId="77777777" w:rsidR="008C0A68" w:rsidRDefault="008C0A68" w:rsidP="00E41AB9">
            <w:pPr>
              <w:pStyle w:val="Default"/>
              <w:spacing w:line="256" w:lineRule="auto"/>
              <w:jc w:val="center"/>
              <w:rPr>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510505B9" w14:textId="77777777" w:rsidR="008C0A68" w:rsidRDefault="008C0A68" w:rsidP="00E41AB9">
            <w:pPr>
              <w:pStyle w:val="Default"/>
              <w:spacing w:line="256" w:lineRule="auto"/>
              <w:jc w:val="center"/>
              <w:rPr>
                <w:sz w:val="20"/>
                <w:szCs w:val="20"/>
              </w:rPr>
            </w:pPr>
          </w:p>
        </w:tc>
        <w:tc>
          <w:tcPr>
            <w:tcW w:w="413" w:type="pct"/>
            <w:tcBorders>
              <w:top w:val="single" w:sz="4" w:space="0" w:color="auto"/>
              <w:left w:val="single" w:sz="4" w:space="0" w:color="auto"/>
              <w:bottom w:val="single" w:sz="4" w:space="0" w:color="auto"/>
              <w:right w:val="single" w:sz="4" w:space="0" w:color="auto"/>
            </w:tcBorders>
            <w:vAlign w:val="center"/>
          </w:tcPr>
          <w:p w14:paraId="48B97175" w14:textId="77777777" w:rsidR="008C0A68" w:rsidRDefault="008C0A68" w:rsidP="00E41AB9">
            <w:pPr>
              <w:pStyle w:val="Default"/>
              <w:spacing w:line="256" w:lineRule="auto"/>
              <w:jc w:val="center"/>
              <w:rPr>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14:paraId="0D427AE3"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4A7100B9" w14:textId="77777777" w:rsidR="008C0A68" w:rsidRDefault="008C0A68" w:rsidP="00E41AB9">
            <w:pPr>
              <w:ind w:firstLine="33"/>
              <w:jc w:val="center"/>
              <w:rPr>
                <w:color w:val="000000"/>
                <w:sz w:val="20"/>
              </w:rPr>
            </w:pPr>
          </w:p>
        </w:tc>
        <w:tc>
          <w:tcPr>
            <w:tcW w:w="438" w:type="pct"/>
            <w:tcBorders>
              <w:top w:val="single" w:sz="4" w:space="0" w:color="auto"/>
              <w:left w:val="single" w:sz="4" w:space="0" w:color="auto"/>
              <w:bottom w:val="single" w:sz="4" w:space="0" w:color="auto"/>
              <w:right w:val="single" w:sz="4" w:space="0" w:color="auto"/>
            </w:tcBorders>
          </w:tcPr>
          <w:p w14:paraId="6C35A421" w14:textId="77777777" w:rsidR="008C0A68" w:rsidRDefault="008C0A68" w:rsidP="00E41AB9">
            <w:pPr>
              <w:ind w:firstLine="33"/>
              <w:jc w:val="center"/>
              <w:rPr>
                <w:color w:val="000000"/>
                <w:sz w:val="20"/>
              </w:rPr>
            </w:pPr>
          </w:p>
        </w:tc>
        <w:tc>
          <w:tcPr>
            <w:tcW w:w="435" w:type="pct"/>
            <w:tcBorders>
              <w:top w:val="single" w:sz="4" w:space="0" w:color="auto"/>
              <w:left w:val="single" w:sz="4" w:space="0" w:color="auto"/>
              <w:bottom w:val="single" w:sz="4" w:space="0" w:color="auto"/>
              <w:right w:val="single" w:sz="4" w:space="0" w:color="auto"/>
            </w:tcBorders>
            <w:vAlign w:val="center"/>
            <w:hideMark/>
          </w:tcPr>
          <w:p w14:paraId="60E6678B" w14:textId="77777777" w:rsidR="008C0A68" w:rsidRDefault="008C0A68" w:rsidP="00E41AB9">
            <w:pPr>
              <w:ind w:firstLine="33"/>
              <w:jc w:val="center"/>
              <w:rPr>
                <w:color w:val="000000"/>
                <w:sz w:val="20"/>
              </w:rPr>
            </w:pPr>
            <w:r>
              <w:rPr>
                <w:color w:val="000000"/>
                <w:sz w:val="20"/>
              </w:rPr>
              <w:t>СС</w:t>
            </w:r>
          </w:p>
        </w:tc>
        <w:tc>
          <w:tcPr>
            <w:tcW w:w="549" w:type="pct"/>
            <w:tcBorders>
              <w:top w:val="single" w:sz="4" w:space="0" w:color="auto"/>
              <w:left w:val="single" w:sz="4" w:space="0" w:color="auto"/>
              <w:bottom w:val="single" w:sz="4" w:space="0" w:color="auto"/>
              <w:right w:val="single" w:sz="4" w:space="0" w:color="auto"/>
            </w:tcBorders>
            <w:vAlign w:val="center"/>
            <w:hideMark/>
          </w:tcPr>
          <w:p w14:paraId="021F2C85" w14:textId="77777777" w:rsidR="008C0A68" w:rsidRDefault="008C0A68" w:rsidP="00E41AB9">
            <w:pPr>
              <w:jc w:val="center"/>
              <w:rPr>
                <w:color w:val="000000"/>
                <w:sz w:val="20"/>
              </w:rPr>
            </w:pPr>
            <w:r>
              <w:rPr>
                <w:color w:val="000000"/>
                <w:sz w:val="20"/>
              </w:rPr>
              <w:t>28,57</w:t>
            </w:r>
          </w:p>
        </w:tc>
        <w:tc>
          <w:tcPr>
            <w:tcW w:w="549" w:type="pct"/>
            <w:tcBorders>
              <w:top w:val="single" w:sz="4" w:space="0" w:color="auto"/>
              <w:left w:val="single" w:sz="4" w:space="0" w:color="auto"/>
              <w:bottom w:val="single" w:sz="4" w:space="0" w:color="auto"/>
              <w:right w:val="single" w:sz="4" w:space="0" w:color="auto"/>
            </w:tcBorders>
            <w:vAlign w:val="center"/>
            <w:hideMark/>
          </w:tcPr>
          <w:p w14:paraId="00FBA8D0" w14:textId="77777777" w:rsidR="008C0A68" w:rsidRDefault="008C0A68" w:rsidP="00E41AB9">
            <w:pPr>
              <w:jc w:val="center"/>
              <w:rPr>
                <w:color w:val="000000"/>
                <w:sz w:val="20"/>
              </w:rPr>
            </w:pPr>
            <w:r>
              <w:rPr>
                <w:color w:val="000000"/>
                <w:sz w:val="20"/>
              </w:rPr>
              <w:t>50</w:t>
            </w:r>
            <w:r>
              <w:rPr>
                <w:rStyle w:val="af1"/>
                <w:color w:val="000000"/>
              </w:rPr>
              <w:footnoteReference w:id="14"/>
            </w:r>
          </w:p>
        </w:tc>
      </w:tr>
      <w:tr w:rsidR="008C0A68" w14:paraId="3E823345" w14:textId="77777777" w:rsidTr="00E41AB9">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6352F" w14:textId="77777777" w:rsidR="008C0A68" w:rsidRDefault="008C0A68" w:rsidP="00E41AB9">
            <w:pPr>
              <w:spacing w:line="256" w:lineRule="auto"/>
              <w:rPr>
                <w:rFonts w:eastAsia="Calibri"/>
                <w:color w:val="000000"/>
                <w:sz w:val="20"/>
                <w:lang w:eastAsia="en-US"/>
              </w:rPr>
            </w:pPr>
          </w:p>
        </w:tc>
        <w:tc>
          <w:tcPr>
            <w:tcW w:w="353" w:type="pct"/>
            <w:tcBorders>
              <w:top w:val="single" w:sz="4" w:space="0" w:color="auto"/>
              <w:left w:val="single" w:sz="4" w:space="0" w:color="auto"/>
              <w:bottom w:val="single" w:sz="4" w:space="0" w:color="auto"/>
              <w:right w:val="single" w:sz="4" w:space="0" w:color="auto"/>
            </w:tcBorders>
            <w:vAlign w:val="center"/>
          </w:tcPr>
          <w:p w14:paraId="68F33532" w14:textId="77777777" w:rsidR="008C0A68" w:rsidRDefault="008C0A68" w:rsidP="00E41AB9">
            <w:pPr>
              <w:pStyle w:val="Default"/>
              <w:spacing w:line="256" w:lineRule="auto"/>
              <w:jc w:val="center"/>
              <w:rPr>
                <w:sz w:val="20"/>
                <w:szCs w:val="20"/>
              </w:rPr>
            </w:pPr>
          </w:p>
        </w:tc>
        <w:tc>
          <w:tcPr>
            <w:tcW w:w="354" w:type="pct"/>
            <w:tcBorders>
              <w:top w:val="single" w:sz="4" w:space="0" w:color="auto"/>
              <w:left w:val="single" w:sz="4" w:space="0" w:color="auto"/>
              <w:bottom w:val="single" w:sz="4" w:space="0" w:color="auto"/>
              <w:right w:val="single" w:sz="4" w:space="0" w:color="auto"/>
            </w:tcBorders>
            <w:vAlign w:val="center"/>
          </w:tcPr>
          <w:p w14:paraId="554CB94C" w14:textId="77777777" w:rsidR="008C0A68" w:rsidRDefault="008C0A68" w:rsidP="00E41AB9">
            <w:pPr>
              <w:pStyle w:val="Default"/>
              <w:spacing w:line="256" w:lineRule="auto"/>
              <w:jc w:val="center"/>
              <w:rPr>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7B6D754B" w14:textId="77777777" w:rsidR="008C0A68" w:rsidRDefault="008C0A68" w:rsidP="00E41AB9">
            <w:pPr>
              <w:pStyle w:val="Default"/>
              <w:spacing w:line="256" w:lineRule="auto"/>
              <w:jc w:val="center"/>
              <w:rPr>
                <w:sz w:val="20"/>
                <w:szCs w:val="20"/>
              </w:rPr>
            </w:pPr>
          </w:p>
        </w:tc>
        <w:tc>
          <w:tcPr>
            <w:tcW w:w="413" w:type="pct"/>
            <w:tcBorders>
              <w:top w:val="single" w:sz="4" w:space="0" w:color="auto"/>
              <w:left w:val="single" w:sz="4" w:space="0" w:color="auto"/>
              <w:bottom w:val="single" w:sz="4" w:space="0" w:color="auto"/>
              <w:right w:val="single" w:sz="4" w:space="0" w:color="auto"/>
            </w:tcBorders>
            <w:vAlign w:val="center"/>
          </w:tcPr>
          <w:p w14:paraId="3139B289" w14:textId="77777777" w:rsidR="008C0A68" w:rsidRDefault="008C0A68" w:rsidP="00E41AB9">
            <w:pPr>
              <w:pStyle w:val="Default"/>
              <w:spacing w:line="256" w:lineRule="auto"/>
              <w:jc w:val="center"/>
              <w:rPr>
                <w:sz w:val="20"/>
                <w:szCs w:val="20"/>
              </w:rPr>
            </w:pPr>
          </w:p>
        </w:tc>
        <w:tc>
          <w:tcPr>
            <w:tcW w:w="512" w:type="pct"/>
            <w:tcBorders>
              <w:top w:val="single" w:sz="4" w:space="0" w:color="auto"/>
              <w:left w:val="single" w:sz="4" w:space="0" w:color="auto"/>
              <w:bottom w:val="single" w:sz="4" w:space="0" w:color="auto"/>
              <w:right w:val="single" w:sz="4" w:space="0" w:color="auto"/>
            </w:tcBorders>
            <w:vAlign w:val="center"/>
          </w:tcPr>
          <w:p w14:paraId="0D830804" w14:textId="77777777" w:rsidR="008C0A68" w:rsidRDefault="008C0A68" w:rsidP="00E41AB9">
            <w:pPr>
              <w:pStyle w:val="Default"/>
              <w:spacing w:line="256" w:lineRule="auto"/>
              <w:jc w:val="cente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76D7378C" w14:textId="77777777" w:rsidR="008C0A68" w:rsidRDefault="008C0A68" w:rsidP="00E41AB9">
            <w:pPr>
              <w:ind w:firstLine="33"/>
              <w:jc w:val="center"/>
              <w:rPr>
                <w:color w:val="000000"/>
                <w:sz w:val="20"/>
              </w:rPr>
            </w:pPr>
          </w:p>
        </w:tc>
        <w:tc>
          <w:tcPr>
            <w:tcW w:w="438" w:type="pct"/>
            <w:tcBorders>
              <w:top w:val="single" w:sz="4" w:space="0" w:color="auto"/>
              <w:left w:val="single" w:sz="4" w:space="0" w:color="auto"/>
              <w:bottom w:val="single" w:sz="4" w:space="0" w:color="auto"/>
              <w:right w:val="single" w:sz="4" w:space="0" w:color="auto"/>
            </w:tcBorders>
          </w:tcPr>
          <w:p w14:paraId="397AFB9B" w14:textId="77777777" w:rsidR="008C0A68" w:rsidRDefault="008C0A68" w:rsidP="00E41AB9">
            <w:pPr>
              <w:ind w:firstLine="33"/>
              <w:jc w:val="center"/>
              <w:rPr>
                <w:color w:val="000000"/>
                <w:sz w:val="20"/>
              </w:rPr>
            </w:pPr>
          </w:p>
        </w:tc>
        <w:tc>
          <w:tcPr>
            <w:tcW w:w="435" w:type="pct"/>
            <w:tcBorders>
              <w:top w:val="single" w:sz="4" w:space="0" w:color="auto"/>
              <w:left w:val="single" w:sz="4" w:space="0" w:color="auto"/>
              <w:bottom w:val="single" w:sz="4" w:space="0" w:color="auto"/>
              <w:right w:val="single" w:sz="4" w:space="0" w:color="auto"/>
            </w:tcBorders>
            <w:vAlign w:val="center"/>
            <w:hideMark/>
          </w:tcPr>
          <w:p w14:paraId="3E134BFD" w14:textId="77777777" w:rsidR="008C0A68" w:rsidRDefault="008C0A68" w:rsidP="00E41AB9">
            <w:pPr>
              <w:ind w:firstLine="33"/>
              <w:jc w:val="center"/>
              <w:rPr>
                <w:color w:val="000000"/>
                <w:sz w:val="20"/>
              </w:rPr>
            </w:pPr>
            <w:r>
              <w:rPr>
                <w:color w:val="000000"/>
                <w:sz w:val="20"/>
              </w:rPr>
              <w:t>С</w:t>
            </w:r>
          </w:p>
        </w:tc>
        <w:tc>
          <w:tcPr>
            <w:tcW w:w="549" w:type="pct"/>
            <w:tcBorders>
              <w:top w:val="single" w:sz="4" w:space="0" w:color="auto"/>
              <w:left w:val="single" w:sz="4" w:space="0" w:color="auto"/>
              <w:bottom w:val="single" w:sz="4" w:space="0" w:color="auto"/>
              <w:right w:val="single" w:sz="4" w:space="0" w:color="auto"/>
            </w:tcBorders>
            <w:vAlign w:val="center"/>
            <w:hideMark/>
          </w:tcPr>
          <w:p w14:paraId="05570B38" w14:textId="77777777" w:rsidR="008C0A68" w:rsidRDefault="008C0A68" w:rsidP="00E41AB9">
            <w:pPr>
              <w:jc w:val="center"/>
              <w:rPr>
                <w:color w:val="000000"/>
                <w:sz w:val="20"/>
              </w:rPr>
            </w:pPr>
            <w:r>
              <w:rPr>
                <w:color w:val="000000"/>
                <w:sz w:val="20"/>
              </w:rPr>
              <w:t>100</w:t>
            </w:r>
          </w:p>
        </w:tc>
        <w:tc>
          <w:tcPr>
            <w:tcW w:w="549" w:type="pct"/>
            <w:tcBorders>
              <w:top w:val="single" w:sz="4" w:space="0" w:color="auto"/>
              <w:left w:val="single" w:sz="4" w:space="0" w:color="auto"/>
              <w:bottom w:val="single" w:sz="4" w:space="0" w:color="auto"/>
              <w:right w:val="single" w:sz="4" w:space="0" w:color="auto"/>
            </w:tcBorders>
            <w:vAlign w:val="center"/>
            <w:hideMark/>
          </w:tcPr>
          <w:p w14:paraId="775622CE" w14:textId="77777777" w:rsidR="008C0A68" w:rsidRDefault="008C0A68" w:rsidP="00E41AB9">
            <w:pPr>
              <w:jc w:val="center"/>
              <w:rPr>
                <w:color w:val="000000"/>
                <w:sz w:val="20"/>
              </w:rPr>
            </w:pPr>
            <w:r>
              <w:rPr>
                <w:color w:val="000000"/>
                <w:sz w:val="20"/>
              </w:rPr>
              <w:t>75</w:t>
            </w:r>
            <w:r>
              <w:rPr>
                <w:rStyle w:val="af1"/>
                <w:color w:val="000000"/>
                <w:sz w:val="20"/>
              </w:rPr>
              <w:footnoteReference w:id="15"/>
            </w:r>
          </w:p>
        </w:tc>
      </w:tr>
      <w:tr w:rsidR="008C0A68" w14:paraId="2CB5E1F8" w14:textId="77777777" w:rsidTr="00E41AB9">
        <w:trPr>
          <w:trHeight w:val="117"/>
        </w:trPr>
        <w:tc>
          <w:tcPr>
            <w:tcW w:w="582" w:type="pct"/>
            <w:tcBorders>
              <w:top w:val="single" w:sz="4" w:space="0" w:color="auto"/>
              <w:left w:val="single" w:sz="4" w:space="0" w:color="auto"/>
              <w:bottom w:val="single" w:sz="4" w:space="0" w:color="auto"/>
              <w:right w:val="single" w:sz="4" w:space="0" w:color="auto"/>
            </w:tcBorders>
            <w:hideMark/>
          </w:tcPr>
          <w:p w14:paraId="23F5B06A" w14:textId="77777777" w:rsidR="008C0A68" w:rsidRDefault="008C0A68" w:rsidP="00E41AB9">
            <w:pPr>
              <w:pStyle w:val="Default"/>
              <w:spacing w:line="256" w:lineRule="auto"/>
              <w:jc w:val="center"/>
              <w:rPr>
                <w:sz w:val="20"/>
                <w:szCs w:val="20"/>
              </w:rPr>
            </w:pPr>
            <w:r>
              <w:rPr>
                <w:sz w:val="20"/>
                <w:szCs w:val="20"/>
              </w:rPr>
              <w:t xml:space="preserve">Рейтинговая группа </w:t>
            </w:r>
            <w:r>
              <w:rPr>
                <w:sz w:val="20"/>
                <w:szCs w:val="20"/>
                <w:lang w:val="en-US"/>
              </w:rPr>
              <w:t>IV</w:t>
            </w:r>
          </w:p>
        </w:tc>
        <w:tc>
          <w:tcPr>
            <w:tcW w:w="353" w:type="pct"/>
            <w:tcBorders>
              <w:top w:val="single" w:sz="4" w:space="0" w:color="auto"/>
              <w:left w:val="single" w:sz="4" w:space="0" w:color="auto"/>
              <w:bottom w:val="single" w:sz="4" w:space="0" w:color="auto"/>
              <w:right w:val="single" w:sz="4" w:space="0" w:color="auto"/>
            </w:tcBorders>
            <w:vAlign w:val="center"/>
            <w:hideMark/>
          </w:tcPr>
          <w:p w14:paraId="237D9DE3" w14:textId="77777777" w:rsidR="008C0A68" w:rsidRDefault="008C0A68" w:rsidP="00E41AB9">
            <w:pPr>
              <w:pStyle w:val="Default"/>
              <w:spacing w:line="256" w:lineRule="auto"/>
              <w:jc w:val="center"/>
              <w:rPr>
                <w:sz w:val="20"/>
                <w:szCs w:val="20"/>
              </w:rPr>
            </w:pPr>
            <w:r>
              <w:rPr>
                <w:sz w:val="20"/>
                <w:szCs w:val="20"/>
              </w:rPr>
              <w:t>D</w:t>
            </w:r>
          </w:p>
        </w:tc>
        <w:tc>
          <w:tcPr>
            <w:tcW w:w="354" w:type="pct"/>
            <w:tcBorders>
              <w:top w:val="single" w:sz="4" w:space="0" w:color="auto"/>
              <w:left w:val="single" w:sz="4" w:space="0" w:color="auto"/>
              <w:bottom w:val="single" w:sz="4" w:space="0" w:color="auto"/>
              <w:right w:val="single" w:sz="4" w:space="0" w:color="auto"/>
            </w:tcBorders>
            <w:vAlign w:val="center"/>
            <w:hideMark/>
          </w:tcPr>
          <w:p w14:paraId="251EDCF7" w14:textId="77777777" w:rsidR="008C0A68" w:rsidRDefault="008C0A68" w:rsidP="00E41AB9">
            <w:pPr>
              <w:pStyle w:val="Default"/>
              <w:spacing w:line="256" w:lineRule="auto"/>
              <w:jc w:val="center"/>
              <w:rPr>
                <w:sz w:val="20"/>
                <w:szCs w:val="20"/>
              </w:rPr>
            </w:pPr>
            <w:r>
              <w:rPr>
                <w:sz w:val="20"/>
                <w:szCs w:val="20"/>
              </w:rPr>
              <w:t>D</w:t>
            </w:r>
          </w:p>
        </w:tc>
        <w:tc>
          <w:tcPr>
            <w:tcW w:w="369" w:type="pct"/>
            <w:tcBorders>
              <w:top w:val="single" w:sz="4" w:space="0" w:color="auto"/>
              <w:left w:val="single" w:sz="4" w:space="0" w:color="auto"/>
              <w:bottom w:val="single" w:sz="4" w:space="0" w:color="auto"/>
              <w:right w:val="single" w:sz="4" w:space="0" w:color="auto"/>
            </w:tcBorders>
            <w:vAlign w:val="center"/>
            <w:hideMark/>
          </w:tcPr>
          <w:p w14:paraId="2C0FBEDB" w14:textId="77777777" w:rsidR="008C0A68" w:rsidRDefault="008C0A68" w:rsidP="00E41AB9">
            <w:pPr>
              <w:pStyle w:val="Default"/>
              <w:spacing w:line="256" w:lineRule="auto"/>
              <w:jc w:val="center"/>
              <w:rPr>
                <w:sz w:val="20"/>
                <w:szCs w:val="20"/>
              </w:rPr>
            </w:pPr>
            <w:r>
              <w:rPr>
                <w:sz w:val="20"/>
                <w:szCs w:val="20"/>
              </w:rPr>
              <w:t>D</w:t>
            </w:r>
          </w:p>
        </w:tc>
        <w:tc>
          <w:tcPr>
            <w:tcW w:w="413" w:type="pct"/>
            <w:tcBorders>
              <w:top w:val="single" w:sz="4" w:space="0" w:color="auto"/>
              <w:left w:val="single" w:sz="4" w:space="0" w:color="auto"/>
              <w:bottom w:val="single" w:sz="4" w:space="0" w:color="auto"/>
              <w:right w:val="single" w:sz="4" w:space="0" w:color="auto"/>
            </w:tcBorders>
            <w:vAlign w:val="center"/>
            <w:hideMark/>
          </w:tcPr>
          <w:p w14:paraId="7319AA34" w14:textId="77777777" w:rsidR="008C0A68" w:rsidRDefault="008C0A68" w:rsidP="00E41AB9">
            <w:pPr>
              <w:pStyle w:val="Default"/>
              <w:spacing w:line="256" w:lineRule="auto"/>
              <w:jc w:val="center"/>
              <w:rPr>
                <w:sz w:val="20"/>
                <w:szCs w:val="20"/>
              </w:rPr>
            </w:pPr>
            <w:r>
              <w:rPr>
                <w:sz w:val="20"/>
                <w:szCs w:val="20"/>
              </w:rPr>
              <w:t>ruD</w:t>
            </w:r>
          </w:p>
        </w:tc>
        <w:tc>
          <w:tcPr>
            <w:tcW w:w="512" w:type="pct"/>
            <w:tcBorders>
              <w:top w:val="single" w:sz="4" w:space="0" w:color="auto"/>
              <w:left w:val="single" w:sz="4" w:space="0" w:color="auto"/>
              <w:bottom w:val="single" w:sz="4" w:space="0" w:color="auto"/>
              <w:right w:val="single" w:sz="4" w:space="0" w:color="auto"/>
            </w:tcBorders>
            <w:vAlign w:val="center"/>
            <w:hideMark/>
          </w:tcPr>
          <w:p w14:paraId="3AA37424" w14:textId="77777777" w:rsidR="008C0A68" w:rsidRDefault="008C0A68" w:rsidP="00E41AB9">
            <w:pPr>
              <w:pStyle w:val="Default"/>
              <w:spacing w:line="256" w:lineRule="auto"/>
              <w:jc w:val="center"/>
              <w:rPr>
                <w:sz w:val="20"/>
                <w:szCs w:val="20"/>
              </w:rPr>
            </w:pPr>
            <w:r>
              <w:rPr>
                <w:sz w:val="20"/>
                <w:szCs w:val="20"/>
              </w:rPr>
              <w:t>D(RU)</w:t>
            </w:r>
          </w:p>
        </w:tc>
        <w:tc>
          <w:tcPr>
            <w:tcW w:w="445" w:type="pct"/>
            <w:tcBorders>
              <w:top w:val="single" w:sz="4" w:space="0" w:color="auto"/>
              <w:left w:val="single" w:sz="4" w:space="0" w:color="auto"/>
              <w:bottom w:val="single" w:sz="4" w:space="0" w:color="auto"/>
              <w:right w:val="single" w:sz="4" w:space="0" w:color="auto"/>
            </w:tcBorders>
            <w:vAlign w:val="center"/>
            <w:hideMark/>
          </w:tcPr>
          <w:p w14:paraId="2BAB6E9C" w14:textId="77777777" w:rsidR="008C0A68" w:rsidRDefault="008C0A68" w:rsidP="00E41AB9">
            <w:pPr>
              <w:ind w:firstLine="33"/>
              <w:jc w:val="center"/>
              <w:rPr>
                <w:bCs/>
                <w:sz w:val="20"/>
                <w:lang w:val="en-US"/>
              </w:rPr>
            </w:pPr>
            <w:r>
              <w:rPr>
                <w:bCs/>
                <w:sz w:val="20"/>
              </w:rPr>
              <w:t>D</w:t>
            </w:r>
          </w:p>
        </w:tc>
        <w:tc>
          <w:tcPr>
            <w:tcW w:w="438" w:type="pct"/>
            <w:tcBorders>
              <w:top w:val="single" w:sz="4" w:space="0" w:color="auto"/>
              <w:left w:val="single" w:sz="4" w:space="0" w:color="auto"/>
              <w:bottom w:val="single" w:sz="4" w:space="0" w:color="auto"/>
              <w:right w:val="single" w:sz="4" w:space="0" w:color="auto"/>
            </w:tcBorders>
            <w:vAlign w:val="center"/>
            <w:hideMark/>
          </w:tcPr>
          <w:p w14:paraId="6ABF0EDE" w14:textId="77777777" w:rsidR="008C0A68" w:rsidRDefault="008C0A68" w:rsidP="00E41AB9">
            <w:pPr>
              <w:ind w:firstLine="33"/>
              <w:jc w:val="center"/>
              <w:rPr>
                <w:bCs/>
                <w:sz w:val="20"/>
                <w:lang w:val="en-US"/>
              </w:rPr>
            </w:pPr>
            <w:r>
              <w:rPr>
                <w:bCs/>
                <w:sz w:val="20"/>
                <w:lang w:val="en-US"/>
              </w:rPr>
              <w:t>RD|ru|, SD|ru|, D|ru|</w:t>
            </w:r>
          </w:p>
        </w:tc>
        <w:tc>
          <w:tcPr>
            <w:tcW w:w="435" w:type="pct"/>
            <w:tcBorders>
              <w:top w:val="single" w:sz="4" w:space="0" w:color="auto"/>
              <w:left w:val="single" w:sz="4" w:space="0" w:color="auto"/>
              <w:bottom w:val="single" w:sz="4" w:space="0" w:color="auto"/>
              <w:right w:val="single" w:sz="4" w:space="0" w:color="auto"/>
            </w:tcBorders>
            <w:vAlign w:val="center"/>
            <w:hideMark/>
          </w:tcPr>
          <w:p w14:paraId="3EAA3D54" w14:textId="77777777" w:rsidR="008C0A68" w:rsidRDefault="008C0A68" w:rsidP="00E41AB9">
            <w:pPr>
              <w:ind w:firstLine="33"/>
              <w:jc w:val="center"/>
              <w:rPr>
                <w:rFonts w:eastAsia="Calibri"/>
                <w:color w:val="000000"/>
                <w:sz w:val="20"/>
                <w:lang w:eastAsia="en-US"/>
              </w:rPr>
            </w:pPr>
            <w:r>
              <w:rPr>
                <w:color w:val="000000"/>
                <w:sz w:val="20"/>
              </w:rPr>
              <w:t>D</w:t>
            </w:r>
          </w:p>
        </w:tc>
        <w:tc>
          <w:tcPr>
            <w:tcW w:w="549" w:type="pct"/>
            <w:tcBorders>
              <w:top w:val="single" w:sz="4" w:space="0" w:color="auto"/>
              <w:left w:val="single" w:sz="4" w:space="0" w:color="auto"/>
              <w:bottom w:val="single" w:sz="4" w:space="0" w:color="auto"/>
              <w:right w:val="single" w:sz="4" w:space="0" w:color="auto"/>
            </w:tcBorders>
            <w:vAlign w:val="center"/>
            <w:hideMark/>
          </w:tcPr>
          <w:p w14:paraId="23FFA1D3" w14:textId="77777777" w:rsidR="008C0A68" w:rsidRDefault="008C0A68" w:rsidP="00E41AB9">
            <w:pPr>
              <w:pStyle w:val="Default"/>
              <w:spacing w:line="256" w:lineRule="auto"/>
              <w:jc w:val="center"/>
              <w:rPr>
                <w:sz w:val="20"/>
                <w:szCs w:val="20"/>
              </w:rPr>
            </w:pPr>
            <w:r>
              <w:rPr>
                <w:sz w:val="20"/>
                <w:szCs w:val="20"/>
              </w:rPr>
              <w:t>100</w:t>
            </w:r>
          </w:p>
        </w:tc>
        <w:tc>
          <w:tcPr>
            <w:tcW w:w="549" w:type="pct"/>
            <w:tcBorders>
              <w:top w:val="single" w:sz="4" w:space="0" w:color="auto"/>
              <w:left w:val="single" w:sz="4" w:space="0" w:color="auto"/>
              <w:bottom w:val="single" w:sz="4" w:space="0" w:color="auto"/>
              <w:right w:val="single" w:sz="4" w:space="0" w:color="auto"/>
            </w:tcBorders>
            <w:vAlign w:val="center"/>
            <w:hideMark/>
          </w:tcPr>
          <w:p w14:paraId="20EFDB1E" w14:textId="77777777" w:rsidR="008C0A68" w:rsidRDefault="008C0A68" w:rsidP="00E41AB9">
            <w:pPr>
              <w:pStyle w:val="Default"/>
              <w:spacing w:line="256" w:lineRule="auto"/>
              <w:jc w:val="center"/>
              <w:rPr>
                <w:sz w:val="20"/>
                <w:szCs w:val="20"/>
              </w:rPr>
            </w:pPr>
            <w:r>
              <w:rPr>
                <w:sz w:val="20"/>
                <w:szCs w:val="20"/>
              </w:rPr>
              <w:t>100</w:t>
            </w:r>
          </w:p>
        </w:tc>
      </w:tr>
    </w:tbl>
    <w:p w14:paraId="58AAB94A" w14:textId="77777777" w:rsidR="008C0A68" w:rsidRDefault="008C0A68" w:rsidP="008C0A68">
      <w:pPr>
        <w:pStyle w:val="a7"/>
        <w:keepLines/>
        <w:tabs>
          <w:tab w:val="left" w:pos="709"/>
        </w:tabs>
        <w:spacing w:after="0" w:line="360" w:lineRule="auto"/>
        <w:ind w:left="0"/>
        <w:jc w:val="both"/>
        <w:rPr>
          <w:rFonts w:ascii="Times New Roman" w:hAnsi="Times New Roman"/>
          <w:sz w:val="16"/>
          <w:szCs w:val="16"/>
        </w:rPr>
      </w:pPr>
    </w:p>
    <w:p w14:paraId="28932FB0" w14:textId="77777777" w:rsidR="008C0A68" w:rsidRDefault="008C0A68" w:rsidP="008C0A68">
      <w:pPr>
        <w:keepLines/>
        <w:tabs>
          <w:tab w:val="left" w:pos="709"/>
        </w:tabs>
        <w:spacing w:line="360" w:lineRule="auto"/>
        <w:jc w:val="both"/>
        <w:rPr>
          <w:szCs w:val="24"/>
        </w:rPr>
      </w:pPr>
      <w:r>
        <w:rPr>
          <w:szCs w:val="24"/>
        </w:rPr>
        <w:tab/>
        <w:t>При отсутствии внешнего и внутреннего кредитного рейтинга контрагенту присваивается вероятность дефолта PDyear, соответствующая рейтингу CCC/С по шкале S&amp;P. Если последний определенный рейтинг контрагента был ниже уровня ССС/С по шкале S&amp;P, то при невозможности определить рейтинг на дату расчета СЧА контрагенту присваивается вероятность дефолта в соответствии с последним определенным рейтингом.</w:t>
      </w:r>
    </w:p>
    <w:p w14:paraId="31994AAE" w14:textId="77777777" w:rsidR="008C0A68" w:rsidRDefault="008C0A68" w:rsidP="008C0A68">
      <w:pPr>
        <w:keepLines/>
        <w:tabs>
          <w:tab w:val="left" w:pos="709"/>
        </w:tabs>
        <w:spacing w:line="360" w:lineRule="auto"/>
        <w:jc w:val="both"/>
        <w:rPr>
          <w:szCs w:val="24"/>
        </w:rPr>
      </w:pPr>
      <w:r>
        <w:rPr>
          <w:b/>
          <w:szCs w:val="24"/>
        </w:rPr>
        <w:t>6.2.</w:t>
      </w:r>
      <w:r>
        <w:rPr>
          <w:szCs w:val="24"/>
        </w:rPr>
        <w:t xml:space="preserve"> </w:t>
      </w:r>
      <w:r>
        <w:rPr>
          <w:szCs w:val="24"/>
        </w:rPr>
        <w:tab/>
        <w:t>В случае наличия признаков обесценения актива, не связанных с изменением рейтинга контрагента и/или с просрочкой, для расчета вероятности дефолта PDyear на основании Таблицы 5 используют рейтинг, сниженный на одну ступень.</w:t>
      </w:r>
    </w:p>
    <w:p w14:paraId="60D2C396" w14:textId="77777777" w:rsidR="008C0A68" w:rsidRDefault="008C0A68" w:rsidP="008C0A68">
      <w:pPr>
        <w:keepLines/>
        <w:tabs>
          <w:tab w:val="left" w:pos="709"/>
        </w:tabs>
        <w:spacing w:line="360" w:lineRule="auto"/>
        <w:jc w:val="both"/>
        <w:rPr>
          <w:szCs w:val="24"/>
        </w:rPr>
      </w:pPr>
      <w:r>
        <w:rPr>
          <w:b/>
          <w:szCs w:val="24"/>
        </w:rPr>
        <w:t>6.3.</w:t>
      </w:r>
      <w:r>
        <w:rPr>
          <w:szCs w:val="24"/>
        </w:rPr>
        <w:t xml:space="preserve"> </w:t>
      </w:r>
      <w:r>
        <w:rPr>
          <w:szCs w:val="24"/>
        </w:rPr>
        <w:tab/>
        <w:t>В случае просрочки контрагентом исполнения своих обязательств перед Фондом на срок, превышающий установленный для признания статуса операционной у соответствующей дебиторской задолженности, но не превышающий срок, при котором признается дефолт, вероятность дефолта контрагента рассчитывается следующим образом:</w:t>
      </w:r>
    </w:p>
    <w:p w14:paraId="10A62B2F" w14:textId="77777777" w:rsidR="008C0A68" w:rsidRDefault="008C0A68" w:rsidP="008C0A68">
      <w:pPr>
        <w:keepLines/>
        <w:tabs>
          <w:tab w:val="left" w:pos="709"/>
        </w:tabs>
        <w:spacing w:line="360" w:lineRule="auto"/>
        <w:jc w:val="both"/>
        <w:rPr>
          <w:szCs w:val="24"/>
        </w:rPr>
      </w:pPr>
      <w:r>
        <w:rPr>
          <w:szCs w:val="24"/>
        </w:rPr>
        <w:t>PD(t)</w:t>
      </w:r>
      <w:r>
        <w:rPr>
          <w:szCs w:val="24"/>
          <w:vertAlign w:val="subscript"/>
        </w:rPr>
        <w:t>просроч</w:t>
      </w:r>
      <w:r>
        <w:rPr>
          <w:szCs w:val="24"/>
        </w:rPr>
        <w:t xml:space="preserve"> = PD + t/(T+1) * (1- PD),                                                                     (3)</w:t>
      </w:r>
    </w:p>
    <w:p w14:paraId="51D36DCF" w14:textId="77777777" w:rsidR="008C0A68" w:rsidRDefault="008C0A68" w:rsidP="008C0A68">
      <w:pPr>
        <w:keepLines/>
        <w:tabs>
          <w:tab w:val="left" w:pos="709"/>
        </w:tabs>
        <w:spacing w:line="360" w:lineRule="auto"/>
        <w:jc w:val="both"/>
        <w:rPr>
          <w:szCs w:val="24"/>
        </w:rPr>
      </w:pPr>
      <w:r>
        <w:rPr>
          <w:szCs w:val="24"/>
        </w:rPr>
        <w:t>Где</w:t>
      </w:r>
    </w:p>
    <w:p w14:paraId="37287FD5" w14:textId="77777777" w:rsidR="008C0A68" w:rsidRDefault="008C0A68" w:rsidP="008C0A68">
      <w:pPr>
        <w:keepLines/>
        <w:tabs>
          <w:tab w:val="left" w:pos="709"/>
        </w:tabs>
        <w:spacing w:line="360" w:lineRule="auto"/>
        <w:jc w:val="both"/>
        <w:rPr>
          <w:szCs w:val="24"/>
        </w:rPr>
      </w:pPr>
      <w:r>
        <w:rPr>
          <w:szCs w:val="24"/>
        </w:rPr>
        <w:t>t – срок просрочки,</w:t>
      </w:r>
    </w:p>
    <w:p w14:paraId="27BCDBDB" w14:textId="77777777" w:rsidR="008C0A68" w:rsidRDefault="008C0A68" w:rsidP="008C0A68">
      <w:pPr>
        <w:keepLines/>
        <w:tabs>
          <w:tab w:val="left" w:pos="709"/>
        </w:tabs>
        <w:spacing w:line="360" w:lineRule="auto"/>
        <w:jc w:val="both"/>
        <w:rPr>
          <w:szCs w:val="24"/>
        </w:rPr>
      </w:pPr>
      <w:r>
        <w:rPr>
          <w:szCs w:val="24"/>
        </w:rPr>
        <w:t>PD(t)</w:t>
      </w:r>
      <w:r>
        <w:rPr>
          <w:szCs w:val="24"/>
          <w:vertAlign w:val="subscript"/>
        </w:rPr>
        <w:t>просроч</w:t>
      </w:r>
      <w:r>
        <w:rPr>
          <w:szCs w:val="24"/>
        </w:rPr>
        <w:t xml:space="preserve"> – вероятность дефолта контрагента c момента признания просроченной задолженности не операционной на день t после даты, в которую должны были быть исполнены его обязательства. Полученное значение определяется до 2 знаков после запятой, если выражается в процентах, или до 4 знаков после запятой, если выражается в абсолютных единицах..</w:t>
      </w:r>
    </w:p>
    <w:p w14:paraId="134B335B" w14:textId="77777777" w:rsidR="008C0A68" w:rsidRDefault="008C0A68" w:rsidP="008C0A68">
      <w:pPr>
        <w:keepLines/>
        <w:tabs>
          <w:tab w:val="left" w:pos="709"/>
        </w:tabs>
        <w:spacing w:line="360" w:lineRule="auto"/>
        <w:jc w:val="both"/>
        <w:rPr>
          <w:szCs w:val="24"/>
        </w:rPr>
      </w:pPr>
      <w:r>
        <w:rPr>
          <w:szCs w:val="24"/>
        </w:rPr>
        <w:lastRenderedPageBreak/>
        <w:t>PD определяется:</w:t>
      </w:r>
    </w:p>
    <w:p w14:paraId="46FDF8E2" w14:textId="77777777" w:rsidR="008C0A68" w:rsidRDefault="008C0A68" w:rsidP="008C0A68">
      <w:pPr>
        <w:keepLines/>
        <w:tabs>
          <w:tab w:val="left" w:pos="709"/>
        </w:tabs>
        <w:spacing w:line="360" w:lineRule="auto"/>
        <w:jc w:val="both"/>
        <w:rPr>
          <w:szCs w:val="24"/>
        </w:rPr>
      </w:pPr>
      <w:r>
        <w:rPr>
          <w:szCs w:val="24"/>
        </w:rPr>
        <w:t>- в случае, если по контрагенту отсутствуют признаки обесценения иные, чем просроченная задолженность - как годовая PDyear на основании Таблицы 5;</w:t>
      </w:r>
    </w:p>
    <w:p w14:paraId="1841D33D" w14:textId="77777777" w:rsidR="008C0A68" w:rsidRDefault="008C0A68" w:rsidP="008C0A68">
      <w:pPr>
        <w:keepLines/>
        <w:tabs>
          <w:tab w:val="left" w:pos="709"/>
        </w:tabs>
        <w:spacing w:line="360" w:lineRule="auto"/>
        <w:jc w:val="both"/>
        <w:rPr>
          <w:szCs w:val="24"/>
        </w:rPr>
      </w:pPr>
      <w:r>
        <w:rPr>
          <w:szCs w:val="24"/>
        </w:rPr>
        <w:t>- в случае, если по контрагенту имеются дополнительные признаки обесценения - как годовая PDyear, дополнительно скорректированная в соответствии с п.6.2.</w:t>
      </w:r>
    </w:p>
    <w:p w14:paraId="30519C89" w14:textId="77777777" w:rsidR="008C0A68" w:rsidRDefault="008C0A68" w:rsidP="008C0A68">
      <w:pPr>
        <w:keepLines/>
        <w:tabs>
          <w:tab w:val="left" w:pos="709"/>
        </w:tabs>
        <w:spacing w:line="360" w:lineRule="auto"/>
        <w:jc w:val="both"/>
        <w:rPr>
          <w:szCs w:val="24"/>
        </w:rPr>
      </w:pPr>
      <w:r>
        <w:rPr>
          <w:szCs w:val="24"/>
        </w:rPr>
        <w:t>T – срок для признания данного типа задолженности дефолтной.</w:t>
      </w:r>
    </w:p>
    <w:p w14:paraId="45EEF149" w14:textId="77777777" w:rsidR="008C0A68" w:rsidRDefault="008C0A68" w:rsidP="008C0A68">
      <w:pPr>
        <w:keepLines/>
        <w:tabs>
          <w:tab w:val="left" w:pos="709"/>
        </w:tabs>
        <w:spacing w:line="360" w:lineRule="auto"/>
        <w:jc w:val="both"/>
        <w:rPr>
          <w:szCs w:val="24"/>
        </w:rPr>
      </w:pPr>
      <w:r>
        <w:rPr>
          <w:szCs w:val="24"/>
        </w:rPr>
        <w:tab/>
        <w:t>В случае, если у контрагента имеется одновременно несколько задолженностей перед фондом, то вероятность дефолта контрагента принимается равной наибольшему значению из вероятностей дефолта, рассчитанных в соответствии с пунктами 6.2 и 6.3. При этом по каждому из  просроченных обязательств, достаточно определить PD(t)</w:t>
      </w:r>
      <w:r>
        <w:rPr>
          <w:sz w:val="20"/>
          <w:szCs w:val="24"/>
        </w:rPr>
        <w:t>проср</w:t>
      </w:r>
      <w:r>
        <w:rPr>
          <w:szCs w:val="24"/>
        </w:rPr>
        <w:t xml:space="preserve"> по денежному потоку, относящемуся к данному обязательству, с наибольшим сроком просрочки.  Полученное таким образом значение PD контрагента применяется ко всем обязательствам контрагента, после чего по непросроченным денежным потокам дополнительно корректируется на срок денежного потока в соответствии с п.6.4.</w:t>
      </w:r>
    </w:p>
    <w:p w14:paraId="7AAB5C3A" w14:textId="77777777" w:rsidR="008C0A68" w:rsidRDefault="008C0A68" w:rsidP="008C0A68">
      <w:pPr>
        <w:keepLines/>
        <w:tabs>
          <w:tab w:val="left" w:pos="709"/>
        </w:tabs>
        <w:spacing w:line="360" w:lineRule="auto"/>
        <w:jc w:val="both"/>
        <w:rPr>
          <w:szCs w:val="24"/>
        </w:rPr>
      </w:pPr>
    </w:p>
    <w:p w14:paraId="1AFE0DB1" w14:textId="77777777" w:rsidR="008C0A68" w:rsidRDefault="008C0A68" w:rsidP="008C0A68">
      <w:pPr>
        <w:keepLines/>
        <w:tabs>
          <w:tab w:val="left" w:pos="709"/>
        </w:tabs>
        <w:spacing w:line="360" w:lineRule="auto"/>
        <w:jc w:val="both"/>
        <w:rPr>
          <w:szCs w:val="24"/>
        </w:rPr>
      </w:pPr>
      <w:r>
        <w:rPr>
          <w:b/>
          <w:szCs w:val="24"/>
        </w:rPr>
        <w:t>6.4.</w:t>
      </w:r>
      <w:r>
        <w:rPr>
          <w:szCs w:val="24"/>
        </w:rPr>
        <w:t xml:space="preserve"> </w:t>
      </w:r>
      <w:r>
        <w:rPr>
          <w:szCs w:val="24"/>
        </w:rPr>
        <w:tab/>
        <w:t>Корректировка вероятности дефолта контрагента на срок денежного потока.</w:t>
      </w:r>
    </w:p>
    <w:p w14:paraId="1F5FF314" w14:textId="77777777" w:rsidR="008C0A68" w:rsidRDefault="008C0A68" w:rsidP="008C0A68">
      <w:pPr>
        <w:keepLines/>
        <w:tabs>
          <w:tab w:val="left" w:pos="709"/>
        </w:tabs>
        <w:spacing w:line="360" w:lineRule="auto"/>
        <w:jc w:val="both"/>
        <w:rPr>
          <w:szCs w:val="24"/>
        </w:rPr>
      </w:pPr>
      <w:r>
        <w:rPr>
          <w:szCs w:val="24"/>
        </w:rPr>
        <w:tab/>
        <w:t>Для каждого денежного потока рассчитывается своя вероятность дефолта, исходя из вероятности дефолта контрагента (определенной в соответствии с пп.6.1 – 6.3), скорректированной на срок денежного потока.</w:t>
      </w:r>
    </w:p>
    <w:p w14:paraId="3EFD0D73" w14:textId="77777777" w:rsidR="008C0A68" w:rsidRDefault="008C0A68" w:rsidP="008C0A68">
      <w:pPr>
        <w:keepLines/>
        <w:tabs>
          <w:tab w:val="left" w:pos="709"/>
        </w:tabs>
        <w:spacing w:line="360" w:lineRule="auto"/>
        <w:jc w:val="both"/>
        <w:rPr>
          <w:szCs w:val="24"/>
        </w:rPr>
      </w:pPr>
      <w:r>
        <w:rPr>
          <w:szCs w:val="24"/>
        </w:rPr>
        <w:tab/>
        <w:t>Корректировка на срок денежного потока не осуществляется до момента первого погашения по задолженности для контрагентов с рейтингом ССС/С и ниже для сроков погашения менее 1 года от даты оценки.</w:t>
      </w:r>
    </w:p>
    <w:p w14:paraId="0CF9BDB0" w14:textId="77777777" w:rsidR="008C0A68" w:rsidRDefault="008C0A68" w:rsidP="008C0A68">
      <w:pPr>
        <w:keepLines/>
        <w:tabs>
          <w:tab w:val="left" w:pos="709"/>
        </w:tabs>
        <w:spacing w:line="360" w:lineRule="auto"/>
        <w:jc w:val="both"/>
        <w:rPr>
          <w:szCs w:val="24"/>
        </w:rPr>
      </w:pPr>
      <w:r>
        <w:rPr>
          <w:szCs w:val="24"/>
        </w:rPr>
        <w:tab/>
        <w:t>Корректировка на срок денежного потока не осуществляется, в случае, если срок до даты денежного потока не превышает 1 года от даты оценки и у контрагента имеются просроченные денежные потоки, выводящие задолженность из состояния операционной.</w:t>
      </w:r>
    </w:p>
    <w:p w14:paraId="63EEB24C" w14:textId="77777777" w:rsidR="008C0A68" w:rsidRDefault="008C0A68" w:rsidP="008C0A68">
      <w:pPr>
        <w:keepLines/>
        <w:tabs>
          <w:tab w:val="left" w:pos="709"/>
        </w:tabs>
        <w:spacing w:line="360" w:lineRule="auto"/>
        <w:jc w:val="both"/>
        <w:rPr>
          <w:szCs w:val="24"/>
        </w:rPr>
      </w:pPr>
      <w:r>
        <w:rPr>
          <w:szCs w:val="24"/>
        </w:rPr>
        <w:tab/>
        <w:t>В случае, если корректировка вероятности дефолта на срок денежного потока не осуществляется, вероятность дефолта для денежного потока (PD(Tn)) принимается равной вероятности дефолта контрагента, определенной в соответствии с пп.6.1 - 6.3.</w:t>
      </w:r>
    </w:p>
    <w:p w14:paraId="573AF1A3" w14:textId="77777777" w:rsidR="008C0A68" w:rsidRDefault="008C0A68" w:rsidP="008C0A68">
      <w:pPr>
        <w:keepLines/>
        <w:tabs>
          <w:tab w:val="left" w:pos="709"/>
        </w:tabs>
        <w:spacing w:line="360" w:lineRule="auto"/>
        <w:jc w:val="both"/>
        <w:rPr>
          <w:szCs w:val="24"/>
        </w:rPr>
      </w:pPr>
      <w:r>
        <w:rPr>
          <w:szCs w:val="24"/>
        </w:rPr>
        <w:t xml:space="preserve"> </w:t>
      </w:r>
      <w:r>
        <w:rPr>
          <w:szCs w:val="24"/>
        </w:rPr>
        <w:tab/>
        <w:t>Для корректировки вероятности дефолта на срок денежного потока используется следующая формула:</w:t>
      </w:r>
    </w:p>
    <w:p w14:paraId="0B54E6DD" w14:textId="77777777" w:rsidR="008C0A68" w:rsidRDefault="008C0A68" w:rsidP="008C0A68">
      <w:pPr>
        <w:pStyle w:val="a7"/>
        <w:keepLines/>
        <w:tabs>
          <w:tab w:val="left" w:pos="709"/>
        </w:tabs>
        <w:spacing w:after="0" w:line="360" w:lineRule="auto"/>
        <w:ind w:left="0"/>
        <w:jc w:val="right"/>
        <w:rPr>
          <w:rFonts w:ascii="Times New Roman" w:hAnsi="Times New Roman"/>
          <w:sz w:val="24"/>
          <w:szCs w:val="24"/>
        </w:rPr>
      </w:pPr>
      <m:oMath>
        <m:r>
          <m:rPr>
            <m:sty m:val="p"/>
          </m:rPr>
          <w:rPr>
            <w:rFonts w:ascii="Cambria Math" w:hAnsi="Cambria Math"/>
            <w:sz w:val="24"/>
            <w:szCs w:val="24"/>
          </w:rPr>
          <m:t>PD(d)=1-</m:t>
        </m:r>
        <m:sSup>
          <m:sSupPr>
            <m:ctrlPr>
              <w:rPr>
                <w:rFonts w:ascii="Cambria Math" w:hAnsi="Cambria Math"/>
                <w:sz w:val="24"/>
                <w:szCs w:val="24"/>
              </w:rPr>
            </m:ctrlPr>
          </m:sSupPr>
          <m:e>
            <m:r>
              <m:rPr>
                <m:sty m:val="p"/>
              </m:rPr>
              <w:rPr>
                <w:rFonts w:ascii="Cambria Math" w:hAnsi="Cambria Math"/>
                <w:sz w:val="24"/>
                <w:szCs w:val="24"/>
              </w:rPr>
              <m:t>(1-</m:t>
            </m:r>
            <m:r>
              <w:rPr>
                <w:rFonts w:ascii="Cambria Math" w:hAnsi="Cambria Math"/>
                <w:sz w:val="24"/>
                <w:szCs w:val="24"/>
                <w:lang w:val="en-US"/>
              </w:rPr>
              <m:t>PD</m:t>
            </m:r>
            <m:r>
              <m:rPr>
                <m:sty m:val="p"/>
              </m:rPr>
              <w:rPr>
                <w:rFonts w:ascii="Cambria Math" w:hAnsi="Cambria Math"/>
                <w:sz w:val="24"/>
                <w:szCs w:val="24"/>
              </w:rPr>
              <m:t>)</m:t>
            </m:r>
          </m:e>
          <m:sup>
            <m:r>
              <m:rPr>
                <m:sty m:val="p"/>
              </m:rPr>
              <w:rPr>
                <w:rFonts w:ascii="Cambria Math" w:hAnsi="Cambria Math"/>
                <w:sz w:val="24"/>
                <w:szCs w:val="24"/>
              </w:rPr>
              <m:t>d/365</m:t>
            </m:r>
          </m:sup>
        </m:sSup>
      </m:oMath>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(4)</w:t>
      </w:r>
    </w:p>
    <w:p w14:paraId="53296E4C" w14:textId="77777777" w:rsidR="008C0A68" w:rsidRDefault="008C0A68" w:rsidP="008C0A68">
      <w:pPr>
        <w:pStyle w:val="a7"/>
        <w:keepLines/>
        <w:tabs>
          <w:tab w:val="left" w:pos="709"/>
        </w:tabs>
        <w:spacing w:after="0" w:line="360" w:lineRule="auto"/>
        <w:ind w:left="0"/>
        <w:rPr>
          <w:rFonts w:ascii="Times New Roman" w:hAnsi="Times New Roman"/>
          <w:sz w:val="24"/>
          <w:szCs w:val="24"/>
        </w:rPr>
      </w:pPr>
      <w:r>
        <w:rPr>
          <w:rFonts w:ascii="Times New Roman" w:hAnsi="Times New Roman"/>
          <w:sz w:val="24"/>
          <w:szCs w:val="24"/>
        </w:rPr>
        <w:t xml:space="preserve">где </w:t>
      </w:r>
    </w:p>
    <w:p w14:paraId="7779346B" w14:textId="77777777" w:rsidR="008C0A68" w:rsidRDefault="008C0A68" w:rsidP="008C0A68">
      <w:pPr>
        <w:pStyle w:val="a7"/>
        <w:keepLines/>
        <w:tabs>
          <w:tab w:val="left" w:pos="709"/>
        </w:tabs>
        <w:spacing w:after="0" w:line="360" w:lineRule="auto"/>
        <w:ind w:left="0"/>
        <w:rPr>
          <w:rFonts w:ascii="Times New Roman" w:hAnsi="Times New Roman"/>
          <w:sz w:val="24"/>
          <w:szCs w:val="24"/>
        </w:rPr>
      </w:pPr>
      <w:r>
        <w:rPr>
          <w:rFonts w:ascii="Times New Roman" w:hAnsi="Times New Roman"/>
          <w:sz w:val="24"/>
          <w:szCs w:val="24"/>
        </w:rPr>
        <w:t>d – срок, оставшийся до погашения в календарных днях с даты оценки;</w:t>
      </w:r>
    </w:p>
    <w:p w14:paraId="7FDCF2C4" w14:textId="77777777" w:rsidR="008C0A68" w:rsidRDefault="008C0A68" w:rsidP="008C0A68">
      <w:pPr>
        <w:pStyle w:val="a7"/>
        <w:keepLines/>
        <w:tabs>
          <w:tab w:val="left" w:pos="709"/>
        </w:tabs>
        <w:spacing w:after="0" w:line="360" w:lineRule="auto"/>
        <w:ind w:left="0"/>
        <w:rPr>
          <w:rFonts w:ascii="Times New Roman" w:hAnsi="Times New Roman"/>
          <w:sz w:val="24"/>
          <w:szCs w:val="24"/>
        </w:rPr>
      </w:pPr>
      <w:r>
        <w:rPr>
          <w:rFonts w:ascii="Times New Roman" w:hAnsi="Times New Roman"/>
          <w:sz w:val="24"/>
          <w:szCs w:val="24"/>
          <w:lang w:val="en-US"/>
        </w:rPr>
        <w:t>PD</w:t>
      </w:r>
      <w:r>
        <w:rPr>
          <w:rFonts w:ascii="Times New Roman" w:hAnsi="Times New Roman"/>
          <w:sz w:val="24"/>
          <w:szCs w:val="24"/>
        </w:rPr>
        <w:t>(</w:t>
      </w:r>
      <w:r>
        <w:rPr>
          <w:rFonts w:ascii="Times New Roman" w:hAnsi="Times New Roman"/>
          <w:sz w:val="24"/>
          <w:szCs w:val="24"/>
          <w:lang w:val="en-US"/>
        </w:rPr>
        <w:t>d</w:t>
      </w:r>
      <w:r>
        <w:rPr>
          <w:rFonts w:ascii="Times New Roman" w:hAnsi="Times New Roman"/>
          <w:sz w:val="24"/>
          <w:szCs w:val="24"/>
        </w:rPr>
        <w:t xml:space="preserve">) – вероятность дефолта для денежного потока со сроком до погашения </w:t>
      </w:r>
      <w:r>
        <w:rPr>
          <w:rFonts w:ascii="Times New Roman" w:hAnsi="Times New Roman"/>
          <w:sz w:val="24"/>
          <w:szCs w:val="24"/>
          <w:lang w:val="en-US"/>
        </w:rPr>
        <w:t>d</w:t>
      </w:r>
      <w:r>
        <w:rPr>
          <w:rFonts w:ascii="Times New Roman" w:hAnsi="Times New Roman"/>
          <w:sz w:val="24"/>
          <w:szCs w:val="24"/>
        </w:rPr>
        <w:t>;</w:t>
      </w:r>
    </w:p>
    <w:p w14:paraId="5A5A39D2" w14:textId="77777777" w:rsidR="008C0A68" w:rsidRDefault="008C0A68" w:rsidP="008C0A68">
      <w:pPr>
        <w:pStyle w:val="a7"/>
        <w:keepLines/>
        <w:tabs>
          <w:tab w:val="left" w:pos="709"/>
        </w:tabs>
        <w:spacing w:after="0" w:line="360" w:lineRule="auto"/>
        <w:ind w:left="0"/>
        <w:rPr>
          <w:rFonts w:ascii="Times New Roman" w:hAnsi="Times New Roman"/>
          <w:sz w:val="24"/>
          <w:szCs w:val="24"/>
        </w:rPr>
      </w:pPr>
      <w:r>
        <w:rPr>
          <w:rFonts w:ascii="Times New Roman" w:hAnsi="Times New Roman"/>
          <w:sz w:val="24"/>
          <w:szCs w:val="24"/>
          <w:lang w:val="en-US"/>
        </w:rPr>
        <w:t>PD</w:t>
      </w:r>
      <w:r w:rsidRPr="009052E7">
        <w:rPr>
          <w:rFonts w:ascii="Times New Roman" w:hAnsi="Times New Roman"/>
          <w:sz w:val="24"/>
          <w:szCs w:val="24"/>
          <w:vertAlign w:val="subscript"/>
        </w:rPr>
        <w:t xml:space="preserve"> </w:t>
      </w:r>
      <w:r>
        <w:rPr>
          <w:rFonts w:ascii="Times New Roman" w:hAnsi="Times New Roman"/>
          <w:sz w:val="24"/>
          <w:szCs w:val="24"/>
        </w:rPr>
        <w:t>- вероятность дефолта контрагента, рассчитанная в соответствии с пп. 6.1 – 6.3;</w:t>
      </w:r>
    </w:p>
    <w:p w14:paraId="5269076D" w14:textId="77777777" w:rsidR="008C0A68" w:rsidRDefault="008C0A68" w:rsidP="008C0A68">
      <w:pPr>
        <w:pStyle w:val="a7"/>
        <w:keepLines/>
        <w:tabs>
          <w:tab w:val="left" w:pos="709"/>
        </w:tabs>
        <w:spacing w:after="0" w:line="360" w:lineRule="auto"/>
        <w:ind w:left="0"/>
        <w:rPr>
          <w:rFonts w:ascii="Times New Roman" w:hAnsi="Times New Roman"/>
          <w:sz w:val="24"/>
          <w:szCs w:val="24"/>
        </w:rPr>
      </w:pPr>
      <w:r>
        <w:rPr>
          <w:rFonts w:ascii="Times New Roman" w:hAnsi="Times New Roman"/>
          <w:sz w:val="24"/>
          <w:szCs w:val="24"/>
        </w:rPr>
        <w:lastRenderedPageBreak/>
        <w:tab/>
        <w:t>Для активов с условием оплаты «по предъявлении» срок d принимается за 1 рабочий день.</w:t>
      </w:r>
    </w:p>
    <w:p w14:paraId="224ECE25" w14:textId="77777777" w:rsidR="008C0A68" w:rsidRDefault="008C0A68" w:rsidP="008C0A68">
      <w:pPr>
        <w:pStyle w:val="a7"/>
        <w:keepLines/>
        <w:tabs>
          <w:tab w:val="left" w:pos="709"/>
        </w:tabs>
        <w:spacing w:after="0" w:line="360" w:lineRule="auto"/>
        <w:ind w:left="0"/>
        <w:jc w:val="both"/>
        <w:rPr>
          <w:rFonts w:ascii="Times New Roman" w:hAnsi="Times New Roman"/>
          <w:sz w:val="24"/>
          <w:szCs w:val="24"/>
        </w:rPr>
      </w:pPr>
      <w:r>
        <w:rPr>
          <w:rFonts w:ascii="Times New Roman" w:hAnsi="Times New Roman"/>
          <w:sz w:val="24"/>
          <w:szCs w:val="24"/>
        </w:rPr>
        <w:tab/>
        <w:t>Для активов с условием оплаты «по предъявлении, но не ранее» срок d рассчитывается до даты, не ранее которой возможно предъявление, а после наступления этой даты (если предъявления к оплате не было) срок d принимается за 1 рабочий день.</w:t>
      </w:r>
    </w:p>
    <w:p w14:paraId="44472A59" w14:textId="77777777" w:rsidR="008C0A68" w:rsidRDefault="008C0A68" w:rsidP="008C0A68">
      <w:pPr>
        <w:pStyle w:val="a7"/>
        <w:keepLines/>
        <w:tabs>
          <w:tab w:val="left" w:pos="709"/>
        </w:tabs>
        <w:spacing w:after="0" w:line="360" w:lineRule="auto"/>
        <w:ind w:left="0"/>
        <w:jc w:val="both"/>
        <w:rPr>
          <w:rFonts w:ascii="Times New Roman" w:hAnsi="Times New Roman"/>
          <w:sz w:val="24"/>
          <w:szCs w:val="24"/>
        </w:rPr>
      </w:pPr>
      <w:r>
        <w:rPr>
          <w:rFonts w:ascii="Times New Roman" w:hAnsi="Times New Roman"/>
          <w:b/>
          <w:sz w:val="24"/>
          <w:szCs w:val="24"/>
        </w:rPr>
        <w:t>6.5.</w:t>
      </w:r>
      <w:r>
        <w:rPr>
          <w:rFonts w:ascii="Times New Roman" w:hAnsi="Times New Roman"/>
          <w:sz w:val="24"/>
          <w:szCs w:val="24"/>
        </w:rPr>
        <w:t xml:space="preserve"> </w:t>
      </w:r>
      <w:r>
        <w:rPr>
          <w:rFonts w:ascii="Times New Roman" w:hAnsi="Times New Roman"/>
          <w:sz w:val="24"/>
          <w:szCs w:val="24"/>
        </w:rPr>
        <w:tab/>
        <w:t>Для корректировки на риск стоимости активов, при расчете справедливой стоимости которых не используется формула приведенной стоимости будущих денежных потоков, используется годовая вероятность дефолта контрагента PDyear, определенная в соответствии с п.6.1, либо скорректированная в соответствии с п.6.2.</w:t>
      </w:r>
    </w:p>
    <w:p w14:paraId="7930680D" w14:textId="77777777" w:rsidR="008C0A68" w:rsidRDefault="008C0A68" w:rsidP="008C0A68">
      <w:pPr>
        <w:keepLines/>
        <w:tabs>
          <w:tab w:val="left" w:pos="1134"/>
        </w:tabs>
        <w:spacing w:line="360" w:lineRule="auto"/>
        <w:jc w:val="both"/>
        <w:rPr>
          <w:szCs w:val="24"/>
        </w:rPr>
      </w:pPr>
      <w:r>
        <w:rPr>
          <w:b/>
          <w:szCs w:val="24"/>
        </w:rPr>
        <w:t>6.6.</w:t>
      </w:r>
      <w:r>
        <w:rPr>
          <w:szCs w:val="24"/>
        </w:rPr>
        <w:t xml:space="preserve"> </w:t>
      </w:r>
      <w:r>
        <w:rPr>
          <w:szCs w:val="24"/>
        </w:rPr>
        <w:tab/>
        <w:t>Вероятность дефолта PD устанавливается равной 1 (единице) для контрагента и для всех его активов и денежных потоков в случае выявления одного или нескольких признаков дефолта, перечисленных в п.3.4.</w:t>
      </w:r>
    </w:p>
    <w:p w14:paraId="5114C51D" w14:textId="77777777" w:rsidR="008C0A68" w:rsidRDefault="008C0A68" w:rsidP="008C0A68">
      <w:pPr>
        <w:pStyle w:val="a7"/>
        <w:keepLines/>
        <w:tabs>
          <w:tab w:val="left" w:pos="709"/>
        </w:tabs>
        <w:spacing w:after="0" w:line="360" w:lineRule="auto"/>
        <w:ind w:left="0"/>
        <w:jc w:val="both"/>
        <w:rPr>
          <w:rFonts w:ascii="Times New Roman" w:hAnsi="Times New Roman"/>
          <w:sz w:val="24"/>
          <w:szCs w:val="24"/>
        </w:rPr>
      </w:pPr>
      <w:r>
        <w:rPr>
          <w:rFonts w:ascii="Times New Roman" w:hAnsi="Times New Roman"/>
          <w:sz w:val="24"/>
          <w:szCs w:val="24"/>
        </w:rPr>
        <w:tab/>
        <w:t>Для имущественных прав, стоимость которых определяется на основании отчета оценщика, вероятность дефолта PD устанавливается равной 1 (единице) при одновременном выполнении следующих условий: просрочка исполнения контрагентом обязательства по передаче имущества и отсутствие отчета оценщика, составленного на дату позднее даты просрочки, в течение более чем 90 календарных дней после даты просрочки.</w:t>
      </w:r>
    </w:p>
    <w:p w14:paraId="24DAD642" w14:textId="77777777" w:rsidR="008C0A68" w:rsidRDefault="008C0A68" w:rsidP="004872F3">
      <w:pPr>
        <w:keepNext/>
        <w:keepLines/>
        <w:numPr>
          <w:ilvl w:val="0"/>
          <w:numId w:val="29"/>
        </w:numPr>
        <w:spacing w:before="120" w:after="120" w:line="360" w:lineRule="auto"/>
        <w:ind w:left="0" w:firstLine="0"/>
        <w:jc w:val="center"/>
        <w:rPr>
          <w:b/>
          <w:szCs w:val="24"/>
        </w:rPr>
      </w:pPr>
      <w:r>
        <w:rPr>
          <w:b/>
          <w:szCs w:val="24"/>
        </w:rPr>
        <w:t>Порядок определения вероятности дефолта PD (контрагент – физическое лицо).</w:t>
      </w:r>
    </w:p>
    <w:p w14:paraId="7A5A6AF4" w14:textId="77777777" w:rsidR="008C0A68" w:rsidRDefault="008C0A68" w:rsidP="008C0A68">
      <w:pPr>
        <w:pStyle w:val="a7"/>
        <w:keepLines/>
        <w:tabs>
          <w:tab w:val="left" w:pos="709"/>
        </w:tabs>
        <w:spacing w:after="0" w:line="360" w:lineRule="auto"/>
        <w:ind w:left="0"/>
        <w:jc w:val="both"/>
        <w:rPr>
          <w:rFonts w:ascii="Times New Roman" w:hAnsi="Times New Roman"/>
          <w:sz w:val="24"/>
          <w:szCs w:val="24"/>
        </w:rPr>
      </w:pPr>
      <w:r>
        <w:rPr>
          <w:rFonts w:ascii="Times New Roman" w:hAnsi="Times New Roman"/>
          <w:sz w:val="24"/>
          <w:szCs w:val="24"/>
        </w:rPr>
        <w:tab/>
        <w:t>До наступления дефолта справедливая стоимость с учетом корректировки на кредитный риск для активов, контрагентами Фонда по которым выступают физические лица, рассчитывается в соответствии с порядком, описанным в п.4 данного Приложения с использованием параметра CoR (Cost of Risk). В случае наступления дефолта по таким активам, для расчета их справедливой стоимости используется общие формулы (1) или (1’), в которых величины PD и PD(n) приравниваются к 1 (единице).</w:t>
      </w:r>
    </w:p>
    <w:p w14:paraId="79C60FB1" w14:textId="77777777" w:rsidR="008C0A68" w:rsidRDefault="008C0A68" w:rsidP="008C0A68">
      <w:pPr>
        <w:tabs>
          <w:tab w:val="left" w:pos="709"/>
        </w:tabs>
        <w:autoSpaceDE w:val="0"/>
        <w:autoSpaceDN w:val="0"/>
        <w:spacing w:line="360" w:lineRule="auto"/>
        <w:jc w:val="both"/>
        <w:rPr>
          <w:szCs w:val="24"/>
        </w:rPr>
      </w:pPr>
      <w:r>
        <w:rPr>
          <w:szCs w:val="24"/>
        </w:rPr>
        <w:tab/>
        <w:t>При невозможности определения величины CoR в соответствии с описанным в параграфе 4 настоящего Приложения  порядком, а также если с даты, по состоянию на которую была составлена последняя по времени опубликованная или полученная по запросу квартальная отчетность по МСФО ПАО Сбербанк, прошло более 6 (шести) месяцев, для определения справедливой стоимости используются общие формулы (1) или (1’) из настоящего Приложения. При этом величины PD и PD(n) приравниваются к 1 (единице) в случае если стоимость обеспечения меньше стоимости задолженности физического лица, рассчитанной без учета ее корректировки на кредитный риск.</w:t>
      </w:r>
    </w:p>
    <w:p w14:paraId="3E54FFA6" w14:textId="77777777" w:rsidR="008C0A68" w:rsidRDefault="008C0A68" w:rsidP="004872F3">
      <w:pPr>
        <w:keepNext/>
        <w:keepLines/>
        <w:numPr>
          <w:ilvl w:val="0"/>
          <w:numId w:val="29"/>
        </w:numPr>
        <w:spacing w:before="120" w:after="120" w:line="360" w:lineRule="auto"/>
        <w:ind w:left="0" w:firstLine="0"/>
        <w:jc w:val="center"/>
        <w:rPr>
          <w:b/>
          <w:szCs w:val="24"/>
        </w:rPr>
      </w:pPr>
      <w:r>
        <w:rPr>
          <w:b/>
          <w:szCs w:val="24"/>
        </w:rPr>
        <w:lastRenderedPageBreak/>
        <w:t>Порядок определения LGD.</w:t>
      </w:r>
    </w:p>
    <w:p w14:paraId="5DE05101" w14:textId="77777777" w:rsidR="008C0A68" w:rsidRDefault="008C0A68" w:rsidP="008C0A68">
      <w:pPr>
        <w:keepLines/>
        <w:tabs>
          <w:tab w:val="left" w:pos="709"/>
        </w:tabs>
        <w:spacing w:line="360" w:lineRule="auto"/>
        <w:jc w:val="both"/>
        <w:rPr>
          <w:szCs w:val="24"/>
        </w:rPr>
      </w:pPr>
      <w:r>
        <w:rPr>
          <w:b/>
          <w:szCs w:val="24"/>
        </w:rPr>
        <w:t>8.1.</w:t>
      </w:r>
      <w:r>
        <w:rPr>
          <w:szCs w:val="24"/>
        </w:rPr>
        <w:t xml:space="preserve"> </w:t>
      </w:r>
      <w:r>
        <w:rPr>
          <w:szCs w:val="24"/>
        </w:rPr>
        <w:tab/>
        <w:t>При отсутствии признаков дефолта расчет LGD производится по следующей формуле:</w:t>
      </w:r>
    </w:p>
    <w:p w14:paraId="01907B11" w14:textId="77777777" w:rsidR="008C0A68" w:rsidRDefault="008C0A68" w:rsidP="008C0A68">
      <w:pPr>
        <w:spacing w:line="360" w:lineRule="auto"/>
        <w:jc w:val="right"/>
        <w:rPr>
          <w:i/>
          <w:szCs w:val="24"/>
        </w:rPr>
      </w:pPr>
      <m:oMath>
        <m:r>
          <w:rPr>
            <w:rFonts w:ascii="Cambria Math" w:hAnsi="Cambria Math"/>
            <w:szCs w:val="24"/>
            <w:lang w:val="en-US"/>
          </w:rPr>
          <m:t>LGD</m:t>
        </m:r>
        <m:r>
          <w:rPr>
            <w:rFonts w:ascii="Cambria Math" w:hAnsi="Cambria Math"/>
            <w:szCs w:val="24"/>
          </w:rPr>
          <m:t>=</m:t>
        </m:r>
        <m:d>
          <m:dPr>
            <m:begChr m:val="{"/>
            <m:endChr m:val=""/>
            <m:ctrlPr>
              <w:rPr>
                <w:rFonts w:ascii="Cambria Math" w:eastAsia="Calibri" w:hAnsi="Cambria Math"/>
                <w:i/>
                <w:szCs w:val="24"/>
                <w:lang w:eastAsia="en-US"/>
              </w:rPr>
            </m:ctrlPr>
          </m:dPr>
          <m:e>
            <m:eqArr>
              <m:eqArrPr>
                <m:ctrlPr>
                  <w:rPr>
                    <w:rFonts w:ascii="Cambria Math" w:eastAsia="Calibri" w:hAnsi="Cambria Math"/>
                    <w:i/>
                    <w:szCs w:val="24"/>
                    <w:lang w:eastAsia="en-US"/>
                  </w:rPr>
                </m:ctrlPr>
              </m:eqArrPr>
              <m:e>
                <m:r>
                  <w:rPr>
                    <w:rFonts w:ascii="Cambria Math" w:hAnsi="Cambria Math"/>
                    <w:szCs w:val="24"/>
                  </w:rPr>
                  <m:t xml:space="preserve"> </m:t>
                </m:r>
                <m:f>
                  <m:fPr>
                    <m:ctrlPr>
                      <w:rPr>
                        <w:rFonts w:ascii="Cambria Math" w:eastAsia="Calibri" w:hAnsi="Cambria Math"/>
                        <w:i/>
                        <w:szCs w:val="24"/>
                        <w:lang w:eastAsia="en-US"/>
                      </w:rPr>
                    </m:ctrlPr>
                  </m:fPr>
                  <m:num>
                    <m:r>
                      <w:rPr>
                        <w:rFonts w:ascii="Cambria Math" w:hAnsi="Cambria Math"/>
                        <w:szCs w:val="24"/>
                      </w:rPr>
                      <m:t>PV-R</m:t>
                    </m:r>
                  </m:num>
                  <m:den>
                    <m:r>
                      <w:rPr>
                        <w:rFonts w:ascii="Cambria Math" w:hAnsi="Cambria Math"/>
                        <w:szCs w:val="24"/>
                      </w:rPr>
                      <m:t>PV</m:t>
                    </m:r>
                  </m:den>
                </m:f>
                <m:r>
                  <w:rPr>
                    <w:rFonts w:ascii="Cambria Math" w:hAnsi="Cambria Math"/>
                    <w:szCs w:val="24"/>
                  </w:rPr>
                  <m:t>,   если PV&gt;R</m:t>
                </m:r>
              </m:e>
              <m:e>
                <m:r>
                  <w:rPr>
                    <w:rFonts w:ascii="Cambria Math" w:hAnsi="Cambria Math"/>
                    <w:szCs w:val="24"/>
                  </w:rPr>
                  <m:t xml:space="preserve">    0,       если PV≤R</m:t>
                </m:r>
              </m:e>
            </m:eqArr>
          </m:e>
        </m:d>
      </m:oMath>
      <w:r>
        <w:rPr>
          <w:i/>
          <w:szCs w:val="24"/>
        </w:rPr>
        <w:tab/>
      </w:r>
      <w:r>
        <w:rPr>
          <w:i/>
          <w:szCs w:val="24"/>
        </w:rPr>
        <w:tab/>
      </w:r>
      <w:r>
        <w:rPr>
          <w:i/>
          <w:szCs w:val="24"/>
        </w:rPr>
        <w:tab/>
      </w:r>
      <w:r>
        <w:rPr>
          <w:i/>
          <w:szCs w:val="24"/>
        </w:rPr>
        <w:tab/>
      </w:r>
      <w:r>
        <w:rPr>
          <w:i/>
          <w:szCs w:val="24"/>
        </w:rPr>
        <w:tab/>
      </w:r>
      <w:r>
        <w:rPr>
          <w:szCs w:val="24"/>
        </w:rPr>
        <w:t>(5)</w:t>
      </w:r>
    </w:p>
    <w:p w14:paraId="1ECDFDA4" w14:textId="77777777" w:rsidR="008C0A68" w:rsidRDefault="008C0A68" w:rsidP="008C0A68">
      <w:pPr>
        <w:spacing w:line="360" w:lineRule="auto"/>
        <w:jc w:val="both"/>
        <w:rPr>
          <w:szCs w:val="24"/>
        </w:rPr>
      </w:pPr>
      <w:r>
        <w:rPr>
          <w:szCs w:val="24"/>
        </w:rPr>
        <w:t xml:space="preserve">где </w:t>
      </w:r>
      <w:r>
        <w:rPr>
          <w:szCs w:val="24"/>
          <w:lang w:val="en-US"/>
        </w:rPr>
        <w:t>PV</w:t>
      </w:r>
      <w:r>
        <w:rPr>
          <w:szCs w:val="24"/>
        </w:rPr>
        <w:t xml:space="preserve"> - справедливая стоимость актива на отчётную дату до корректировки на обесценение; </w:t>
      </w:r>
      <w:r>
        <w:rPr>
          <w:szCs w:val="24"/>
          <w:lang w:val="en-US"/>
        </w:rPr>
        <w:t>R</w:t>
      </w:r>
      <w:r>
        <w:rPr>
          <w:szCs w:val="24"/>
        </w:rPr>
        <w:t xml:space="preserve"> - размер обеспечения. Размер обеспечения определяется в зависимости от его вида. </w:t>
      </w:r>
    </w:p>
    <w:p w14:paraId="5F883479" w14:textId="77777777" w:rsidR="008C0A68" w:rsidRDefault="008C0A68" w:rsidP="008C0A68">
      <w:pPr>
        <w:spacing w:line="360" w:lineRule="auto"/>
        <w:ind w:firstLine="708"/>
        <w:jc w:val="both"/>
        <w:rPr>
          <w:szCs w:val="24"/>
        </w:rPr>
      </w:pPr>
      <w:r>
        <w:rPr>
          <w:szCs w:val="24"/>
        </w:rPr>
        <w:t>При отсутствии обеспечения R = 0 и LGD = 1.</w:t>
      </w:r>
    </w:p>
    <w:p w14:paraId="0751FEA2" w14:textId="77777777" w:rsidR="008C0A68" w:rsidRDefault="008C0A68" w:rsidP="008C0A68">
      <w:pPr>
        <w:spacing w:line="360" w:lineRule="auto"/>
        <w:ind w:firstLine="708"/>
        <w:jc w:val="both"/>
        <w:rPr>
          <w:szCs w:val="24"/>
        </w:rPr>
      </w:pPr>
      <w:r>
        <w:rPr>
          <w:szCs w:val="24"/>
        </w:rPr>
        <w:t xml:space="preserve">Для обеспечения, оцениваемого оценщиком (в т.ч. для залогов), </w:t>
      </w:r>
      <w:r>
        <w:rPr>
          <w:szCs w:val="24"/>
          <w:lang w:val="en-US"/>
        </w:rPr>
        <w:t>R</w:t>
      </w:r>
      <w:r>
        <w:rPr>
          <w:szCs w:val="24"/>
        </w:rPr>
        <w:t xml:space="preserve"> – это стоимость обеспечения без учёта НДС в соответствии с последним отчётом независимого оценщика. При этом дата последнего отчета должна быть не ранее, чем за шесть месяцев до даты тестирования. Если последний отчет оценщика составлен ранее шести месяцев до даты тестирования, то стоимость обеспечения принимается равной нулю. </w:t>
      </w:r>
    </w:p>
    <w:p w14:paraId="6FA24199" w14:textId="77777777" w:rsidR="008C0A68" w:rsidRDefault="008C0A68" w:rsidP="008C0A68">
      <w:pPr>
        <w:spacing w:line="360" w:lineRule="auto"/>
        <w:ind w:firstLine="708"/>
        <w:jc w:val="both"/>
        <w:rPr>
          <w:szCs w:val="24"/>
        </w:rPr>
      </w:pPr>
      <w:r>
        <w:rPr>
          <w:szCs w:val="24"/>
        </w:rPr>
        <w:t xml:space="preserve">Для задолженности, обеспеченной договором страхования, в случае если такой договор заключен со страховой компанией, имеющей уровень рейтинга не ниже Рейтинговой группы </w:t>
      </w:r>
      <w:r>
        <w:rPr>
          <w:szCs w:val="24"/>
          <w:lang w:val="en-US"/>
        </w:rPr>
        <w:t>I</w:t>
      </w:r>
      <w:r>
        <w:rPr>
          <w:szCs w:val="24"/>
        </w:rPr>
        <w:t xml:space="preserve"> из Таблицы 1, обеспечение принимается на всю сумму страховки. Если рейтинг страховой компании ниже Рейтинговой группы </w:t>
      </w:r>
      <w:r>
        <w:rPr>
          <w:szCs w:val="24"/>
          <w:lang w:val="en-US"/>
        </w:rPr>
        <w:t>I</w:t>
      </w:r>
      <w:r>
        <w:rPr>
          <w:szCs w:val="24"/>
        </w:rPr>
        <w:t xml:space="preserve">, величина </w:t>
      </w:r>
      <w:r>
        <w:rPr>
          <w:szCs w:val="24"/>
          <w:lang w:val="en-US"/>
        </w:rPr>
        <w:t>R</w:t>
      </w:r>
      <w:r>
        <w:rPr>
          <w:szCs w:val="24"/>
        </w:rPr>
        <w:t xml:space="preserve"> принимается равной сумме страховки, умноженной на (1-</w:t>
      </w:r>
      <w:r>
        <w:rPr>
          <w:szCs w:val="24"/>
          <w:lang w:val="en-US"/>
        </w:rPr>
        <w:t>PD</w:t>
      </w:r>
      <w:r>
        <w:rPr>
          <w:szCs w:val="24"/>
        </w:rPr>
        <w:t xml:space="preserve">), где </w:t>
      </w:r>
      <w:r>
        <w:rPr>
          <w:szCs w:val="24"/>
          <w:lang w:val="en-US"/>
        </w:rPr>
        <w:t>PD</w:t>
      </w:r>
      <w:r>
        <w:rPr>
          <w:szCs w:val="24"/>
        </w:rPr>
        <w:t xml:space="preserve"> – вероятность дефолта страховой компании, определенная из ее рейтинга в соответствии с данным Приложением. При отсутствии у страховой компании рейтинга одного из рейтинговых агентств из Таблицы 1 используется значение </w:t>
      </w:r>
      <w:r>
        <w:rPr>
          <w:szCs w:val="24"/>
          <w:lang w:val="en-US"/>
        </w:rPr>
        <w:t>PD</w:t>
      </w:r>
      <w:r>
        <w:rPr>
          <w:szCs w:val="24"/>
        </w:rPr>
        <w:t xml:space="preserve"> для рейтинга CCC/С по шкале </w:t>
      </w:r>
      <w:r>
        <w:rPr>
          <w:szCs w:val="24"/>
          <w:lang w:val="en-US"/>
        </w:rPr>
        <w:t>S</w:t>
      </w:r>
      <w:r>
        <w:rPr>
          <w:szCs w:val="24"/>
        </w:rPr>
        <w:t>&amp;</w:t>
      </w:r>
      <w:r>
        <w:rPr>
          <w:szCs w:val="24"/>
          <w:lang w:val="en-US"/>
        </w:rPr>
        <w:t>P</w:t>
      </w:r>
      <w:r>
        <w:rPr>
          <w:szCs w:val="24"/>
        </w:rPr>
        <w:t>.</w:t>
      </w:r>
    </w:p>
    <w:p w14:paraId="3EBB85FD" w14:textId="77777777" w:rsidR="008C0A68" w:rsidRDefault="008C0A68" w:rsidP="008C0A68">
      <w:pPr>
        <w:spacing w:line="360" w:lineRule="auto"/>
        <w:ind w:firstLine="708"/>
        <w:jc w:val="both"/>
        <w:rPr>
          <w:szCs w:val="24"/>
        </w:rPr>
      </w:pPr>
      <w:r>
        <w:rPr>
          <w:szCs w:val="24"/>
        </w:rPr>
        <w:t xml:space="preserve">При наличии поручительства (гарантий, опционных соглашений) юридических лиц на всю или часть задолженности (стоимости актива) Управляющая компания может использовать в качестве оценки обеспечения оценку обязательств поручителя (гаранта/контрагента по опционному соглашению) на соответствующую сумму и с соответствующими условиями погашения, рассчитанную с учетом корректировки на кредитный риск поручителя (гаранта/ контрагента по опционному соглашению), с учетом его вероятности дефолта </w:t>
      </w:r>
      <w:r>
        <w:rPr>
          <w:szCs w:val="24"/>
          <w:lang w:val="en-US"/>
        </w:rPr>
        <w:t>PD</w:t>
      </w:r>
      <w:r>
        <w:rPr>
          <w:szCs w:val="24"/>
        </w:rPr>
        <w:t xml:space="preserve">, на основании данного Приложения. При этом </w:t>
      </w:r>
      <w:r>
        <w:rPr>
          <w:szCs w:val="24"/>
          <w:lang w:val="en-US"/>
        </w:rPr>
        <w:t>LGD</w:t>
      </w:r>
      <w:r>
        <w:rPr>
          <w:szCs w:val="24"/>
        </w:rPr>
        <w:t xml:space="preserve"> поручителя (гаранта/ контрагента по опционному соглашению) принимается равным 1 (единице).</w:t>
      </w:r>
    </w:p>
    <w:p w14:paraId="3B101B0B" w14:textId="77777777" w:rsidR="008C0A68" w:rsidRDefault="008C0A68" w:rsidP="008C0A68">
      <w:pPr>
        <w:spacing w:line="360" w:lineRule="auto"/>
        <w:ind w:firstLine="708"/>
        <w:jc w:val="both"/>
        <w:rPr>
          <w:szCs w:val="24"/>
        </w:rPr>
      </w:pPr>
      <w:r>
        <w:rPr>
          <w:szCs w:val="24"/>
        </w:rPr>
        <w:t xml:space="preserve">Обеспечение в виде поручительства может также быть оценено оценщиком. </w:t>
      </w:r>
    </w:p>
    <w:p w14:paraId="73EA508E" w14:textId="77777777" w:rsidR="008C0A68" w:rsidRDefault="008C0A68" w:rsidP="008C0A68">
      <w:pPr>
        <w:spacing w:line="360" w:lineRule="auto"/>
        <w:ind w:firstLine="708"/>
        <w:jc w:val="both"/>
        <w:rPr>
          <w:szCs w:val="24"/>
        </w:rPr>
      </w:pPr>
      <w:r>
        <w:rPr>
          <w:szCs w:val="24"/>
        </w:rPr>
        <w:t xml:space="preserve">Обеспечение в виде ценных бумаг при отсутствии отчета оценщика оценивается по справедливой стоимости в соответствии с данными Правилами. </w:t>
      </w:r>
    </w:p>
    <w:p w14:paraId="7F215670" w14:textId="77777777" w:rsidR="008C0A68" w:rsidRDefault="008C0A68" w:rsidP="008C0A68">
      <w:pPr>
        <w:spacing w:line="360" w:lineRule="auto"/>
        <w:ind w:firstLine="708"/>
        <w:jc w:val="both"/>
        <w:rPr>
          <w:szCs w:val="24"/>
        </w:rPr>
      </w:pPr>
      <w:r>
        <w:rPr>
          <w:szCs w:val="24"/>
        </w:rPr>
        <w:lastRenderedPageBreak/>
        <w:t>В случае дебиторской задолженности по аренде при использовании обеспечительного или гарантийного депозита величина депозита может учитываться как стоимость обеспечения.</w:t>
      </w:r>
    </w:p>
    <w:p w14:paraId="3CFDF475" w14:textId="77777777" w:rsidR="008C0A68" w:rsidRDefault="008C0A68" w:rsidP="008C0A68">
      <w:pPr>
        <w:spacing w:line="360" w:lineRule="auto"/>
        <w:jc w:val="both"/>
        <w:rPr>
          <w:szCs w:val="24"/>
        </w:rPr>
      </w:pPr>
      <w:r>
        <w:rPr>
          <w:szCs w:val="24"/>
        </w:rPr>
        <w:t xml:space="preserve"> </w:t>
      </w:r>
    </w:p>
    <w:p w14:paraId="75980A63" w14:textId="77777777" w:rsidR="008C0A68" w:rsidRDefault="008C0A68" w:rsidP="008C0A68">
      <w:pPr>
        <w:spacing w:line="360" w:lineRule="auto"/>
        <w:jc w:val="both"/>
        <w:rPr>
          <w:szCs w:val="24"/>
        </w:rPr>
      </w:pPr>
      <w:r>
        <w:rPr>
          <w:b/>
          <w:szCs w:val="24"/>
        </w:rPr>
        <w:t xml:space="preserve">8.2. </w:t>
      </w:r>
      <w:r>
        <w:rPr>
          <w:b/>
          <w:szCs w:val="24"/>
        </w:rPr>
        <w:tab/>
      </w:r>
      <w:r>
        <w:rPr>
          <w:szCs w:val="24"/>
        </w:rPr>
        <w:t>При выявлении признаков дефолта расчет LGD производится по следующей формуле:</w:t>
      </w:r>
    </w:p>
    <w:p w14:paraId="64D368A8" w14:textId="77777777" w:rsidR="008C0A68" w:rsidRDefault="008C0A68" w:rsidP="008C0A68">
      <w:pPr>
        <w:tabs>
          <w:tab w:val="left" w:pos="3119"/>
        </w:tabs>
        <w:ind w:left="3119"/>
        <w:jc w:val="right"/>
        <w:rPr>
          <w:szCs w:val="24"/>
        </w:rPr>
      </w:pPr>
      <m:oMath>
        <m:r>
          <w:rPr>
            <w:rFonts w:ascii="Cambria Math" w:hAnsi="Cambria Math"/>
            <w:szCs w:val="24"/>
            <w:lang w:val="en-US"/>
          </w:rPr>
          <m:t>LGD</m:t>
        </m:r>
        <m:r>
          <w:rPr>
            <w:rFonts w:ascii="Cambria Math" w:hAnsi="Cambria Math"/>
            <w:szCs w:val="24"/>
          </w:rPr>
          <m:t>=</m:t>
        </m:r>
        <m:d>
          <m:dPr>
            <m:begChr m:val="{"/>
            <m:endChr m:val=""/>
            <m:ctrlPr>
              <w:rPr>
                <w:rFonts w:ascii="Cambria Math" w:eastAsia="Calibri" w:hAnsi="Cambria Math"/>
                <w:i/>
                <w:szCs w:val="24"/>
                <w:lang w:eastAsia="en-US"/>
              </w:rPr>
            </m:ctrlPr>
          </m:dPr>
          <m:e>
            <m:eqArr>
              <m:eqArrPr>
                <m:ctrlPr>
                  <w:rPr>
                    <w:rFonts w:ascii="Cambria Math" w:eastAsia="Calibri" w:hAnsi="Cambria Math"/>
                    <w:i/>
                    <w:szCs w:val="24"/>
                    <w:lang w:eastAsia="en-US"/>
                  </w:rPr>
                </m:ctrlPr>
              </m:eqArrPr>
              <m:e>
                <m:f>
                  <m:fPr>
                    <m:ctrlPr>
                      <w:rPr>
                        <w:rFonts w:ascii="Cambria Math" w:eastAsia="Calibri" w:hAnsi="Cambria Math"/>
                        <w:i/>
                        <w:szCs w:val="24"/>
                        <w:lang w:eastAsia="en-US"/>
                      </w:rPr>
                    </m:ctrlPr>
                  </m:fPr>
                  <m:num>
                    <m:r>
                      <w:rPr>
                        <w:rFonts w:ascii="Cambria Math" w:hAnsi="Cambria Math"/>
                        <w:szCs w:val="24"/>
                      </w:rPr>
                      <m:t>PV-</m:t>
                    </m:r>
                    <m:r>
                      <w:rPr>
                        <w:rFonts w:ascii="Cambria Math" w:hAnsi="Cambria Math"/>
                        <w:szCs w:val="24"/>
                        <w:lang w:val="en-US"/>
                      </w:rPr>
                      <m:t>R</m:t>
                    </m:r>
                    <m:r>
                      <w:rPr>
                        <w:rFonts w:ascii="Cambria Math" w:hAnsi="Cambria Math"/>
                        <w:szCs w:val="24"/>
                      </w:rPr>
                      <m:t>(</m:t>
                    </m:r>
                    <m:r>
                      <w:rPr>
                        <w:rFonts w:ascii="Cambria Math" w:hAnsi="Cambria Math"/>
                        <w:szCs w:val="24"/>
                        <w:lang w:val="en-US"/>
                      </w:rPr>
                      <m:t>t</m:t>
                    </m:r>
                    <m:r>
                      <w:rPr>
                        <w:rFonts w:ascii="Cambria Math" w:hAnsi="Cambria Math"/>
                        <w:szCs w:val="24"/>
                      </w:rPr>
                      <m:t>)</m:t>
                    </m:r>
                  </m:num>
                  <m:den>
                    <m:r>
                      <w:rPr>
                        <w:rFonts w:ascii="Cambria Math" w:hAnsi="Cambria Math"/>
                        <w:szCs w:val="24"/>
                      </w:rPr>
                      <m:t>PV</m:t>
                    </m:r>
                  </m:den>
                </m:f>
                <m:r>
                  <w:rPr>
                    <w:rFonts w:ascii="Cambria Math" w:hAnsi="Cambria Math"/>
                    <w:szCs w:val="24"/>
                  </w:rPr>
                  <m:t>,    если PV&gt;R(</m:t>
                </m:r>
                <m:r>
                  <w:rPr>
                    <w:rFonts w:ascii="Cambria Math" w:hAnsi="Cambria Math"/>
                    <w:szCs w:val="24"/>
                    <w:lang w:val="en-US"/>
                  </w:rPr>
                  <m:t>t</m:t>
                </m:r>
                <m:r>
                  <w:rPr>
                    <w:rFonts w:ascii="Cambria Math" w:hAnsi="Cambria Math"/>
                    <w:szCs w:val="24"/>
                  </w:rPr>
                  <m:t>)</m:t>
                </m:r>
              </m:e>
              <m:e>
                <m:r>
                  <w:rPr>
                    <w:rFonts w:ascii="Cambria Math" w:hAnsi="Cambria Math"/>
                    <w:szCs w:val="24"/>
                  </w:rPr>
                  <m:t xml:space="preserve">       0,           если PV≤R(t)</m:t>
                </m:r>
              </m:e>
            </m:eqArr>
          </m:e>
        </m:d>
      </m:oMath>
      <w:r>
        <w:rPr>
          <w:szCs w:val="24"/>
        </w:rPr>
        <w:tab/>
      </w:r>
      <w:r>
        <w:rPr>
          <w:szCs w:val="24"/>
        </w:rPr>
        <w:tab/>
      </w:r>
      <w:r>
        <w:rPr>
          <w:szCs w:val="24"/>
        </w:rPr>
        <w:tab/>
      </w:r>
      <w:r>
        <w:rPr>
          <w:szCs w:val="24"/>
        </w:rPr>
        <w:tab/>
        <w:t>(6)</w:t>
      </w:r>
    </w:p>
    <w:p w14:paraId="1D62D611" w14:textId="77777777" w:rsidR="008C0A68" w:rsidRDefault="008C0A68" w:rsidP="008C0A68">
      <w:pPr>
        <w:spacing w:line="360" w:lineRule="auto"/>
        <w:jc w:val="both"/>
        <w:rPr>
          <w:szCs w:val="24"/>
        </w:rPr>
      </w:pPr>
      <w:r>
        <w:rPr>
          <w:szCs w:val="24"/>
        </w:rPr>
        <w:t xml:space="preserve">в которой </w:t>
      </w:r>
      <w:r>
        <w:rPr>
          <w:szCs w:val="24"/>
          <w:lang w:val="en-US"/>
        </w:rPr>
        <w:t>R</w:t>
      </w:r>
      <w:r>
        <w:rPr>
          <w:szCs w:val="24"/>
        </w:rPr>
        <w:t>(</w:t>
      </w:r>
      <w:r>
        <w:rPr>
          <w:szCs w:val="24"/>
          <w:lang w:val="en-US"/>
        </w:rPr>
        <w:t>t</w:t>
      </w:r>
      <w:r>
        <w:rPr>
          <w:szCs w:val="24"/>
        </w:rPr>
        <w:t>) – дисконтированная стоимость обеспечения, рассчитываемая по формуле:</w:t>
      </w:r>
    </w:p>
    <w:p w14:paraId="73BB0644" w14:textId="77777777" w:rsidR="008C0A68" w:rsidRDefault="008C0A68" w:rsidP="008C0A68">
      <w:pPr>
        <w:spacing w:line="360" w:lineRule="auto"/>
        <w:ind w:left="2832" w:firstLine="708"/>
        <w:jc w:val="both"/>
        <w:rPr>
          <w:szCs w:val="24"/>
        </w:rPr>
      </w:pPr>
      <m:oMath>
        <m:r>
          <w:rPr>
            <w:rFonts w:ascii="Cambria Math" w:hAnsi="Cambria Math"/>
            <w:sz w:val="28"/>
            <w:lang w:val="en-US"/>
          </w:rPr>
          <m:t>R</m:t>
        </m:r>
        <m:d>
          <m:dPr>
            <m:ctrlPr>
              <w:rPr>
                <w:rFonts w:ascii="Cambria Math" w:eastAsia="Calibri" w:hAnsi="Cambria Math"/>
                <w:i/>
                <w:sz w:val="28"/>
                <w:szCs w:val="28"/>
                <w:lang w:val="en-US" w:eastAsia="en-US"/>
              </w:rPr>
            </m:ctrlPr>
          </m:dPr>
          <m:e>
            <m:r>
              <w:rPr>
                <w:rFonts w:ascii="Cambria Math" w:hAnsi="Cambria Math"/>
                <w:sz w:val="28"/>
                <w:lang w:val="en-US"/>
              </w:rPr>
              <m:t>t</m:t>
            </m:r>
          </m:e>
        </m:d>
        <m:r>
          <w:rPr>
            <w:rFonts w:ascii="Cambria Math" w:hAnsi="Cambria Math"/>
            <w:sz w:val="28"/>
          </w:rPr>
          <m:t>=</m:t>
        </m:r>
        <m:nary>
          <m:naryPr>
            <m:chr m:val="∑"/>
            <m:limLoc m:val="undOvr"/>
            <m:subHide m:val="1"/>
            <m:supHide m:val="1"/>
            <m:ctrlPr>
              <w:rPr>
                <w:rFonts w:ascii="Cambria Math" w:eastAsia="Calibri" w:hAnsi="Cambria Math"/>
                <w:i/>
                <w:sz w:val="28"/>
                <w:szCs w:val="28"/>
                <w:lang w:eastAsia="en-US"/>
              </w:rPr>
            </m:ctrlPr>
          </m:naryPr>
          <m:sub/>
          <m:sup/>
          <m:e>
            <m:f>
              <m:fPr>
                <m:ctrlPr>
                  <w:rPr>
                    <w:rFonts w:ascii="Cambria Math" w:eastAsia="Calibri" w:hAnsi="Cambria Math"/>
                    <w:i/>
                    <w:sz w:val="28"/>
                    <w:szCs w:val="28"/>
                    <w:lang w:eastAsia="en-US"/>
                  </w:rPr>
                </m:ctrlPr>
              </m:fPr>
              <m:num>
                <m:r>
                  <w:rPr>
                    <w:rFonts w:ascii="Cambria Math" w:hAnsi="Cambria Math"/>
                    <w:sz w:val="28"/>
                    <w:lang w:val="en-US"/>
                  </w:rPr>
                  <m:t>R</m:t>
                </m:r>
              </m:num>
              <m:den>
                <m:sSup>
                  <m:sSupPr>
                    <m:ctrlPr>
                      <w:rPr>
                        <w:rFonts w:ascii="Cambria Math" w:eastAsia="Calibri" w:hAnsi="Cambria Math"/>
                        <w:i/>
                        <w:sz w:val="28"/>
                        <w:szCs w:val="28"/>
                        <w:lang w:eastAsia="en-US"/>
                      </w:rPr>
                    </m:ctrlPr>
                  </m:sSupPr>
                  <m:e>
                    <m:r>
                      <w:rPr>
                        <w:rFonts w:ascii="Cambria Math" w:hAnsi="Cambria Math"/>
                        <w:sz w:val="28"/>
                      </w:rPr>
                      <m:t>(1+r)</m:t>
                    </m:r>
                  </m:e>
                  <m:sup>
                    <m:f>
                      <m:fPr>
                        <m:ctrlPr>
                          <w:rPr>
                            <w:rFonts w:ascii="Cambria Math" w:eastAsia="Calibri" w:hAnsi="Cambria Math"/>
                            <w:i/>
                            <w:sz w:val="28"/>
                            <w:szCs w:val="28"/>
                            <w:lang w:eastAsia="en-US"/>
                          </w:rPr>
                        </m:ctrlPr>
                      </m:fPr>
                      <m:num>
                        <m:r>
                          <w:rPr>
                            <w:rFonts w:ascii="Cambria Math" w:hAnsi="Cambria Math"/>
                            <w:sz w:val="28"/>
                          </w:rPr>
                          <m:t>T</m:t>
                        </m:r>
                      </m:num>
                      <m:den>
                        <m:r>
                          <w:rPr>
                            <w:rFonts w:ascii="Cambria Math" w:hAnsi="Cambria Math"/>
                            <w:sz w:val="28"/>
                          </w:rPr>
                          <m:t>365</m:t>
                        </m:r>
                      </m:den>
                    </m:f>
                  </m:sup>
                </m:sSup>
              </m:den>
            </m:f>
          </m:e>
        </m:nary>
        <m:r>
          <w:rPr>
            <w:rFonts w:ascii="Cambria Math" w:hAnsi="Cambria Math"/>
            <w:sz w:val="28"/>
          </w:rPr>
          <m:t>*(1-discount)</m:t>
        </m:r>
      </m:oMath>
      <w:r>
        <w:t xml:space="preserve">                                     (7)</w:t>
      </w:r>
    </w:p>
    <w:p w14:paraId="68EC5277" w14:textId="77777777" w:rsidR="008C0A68" w:rsidRDefault="008C0A68" w:rsidP="008C0A68">
      <w:pPr>
        <w:spacing w:line="360" w:lineRule="auto"/>
        <w:jc w:val="both"/>
        <w:rPr>
          <w:szCs w:val="24"/>
        </w:rPr>
      </w:pPr>
      <w:r>
        <w:rPr>
          <w:szCs w:val="24"/>
        </w:rPr>
        <w:t>где</w:t>
      </w:r>
    </w:p>
    <w:p w14:paraId="4D24917F" w14:textId="77777777" w:rsidR="008C0A68" w:rsidRDefault="008C0A68" w:rsidP="008C0A68">
      <w:pPr>
        <w:spacing w:line="360" w:lineRule="auto"/>
        <w:jc w:val="both"/>
        <w:rPr>
          <w:szCs w:val="24"/>
        </w:rPr>
      </w:pPr>
      <w:r>
        <w:rPr>
          <w:szCs w:val="24"/>
        </w:rPr>
        <w:t>суммирование происходит по всем ожидаемым денежным потокам по всем имеющимся видам обеспечения,</w:t>
      </w:r>
    </w:p>
    <w:p w14:paraId="0EEE8F0E" w14:textId="77777777" w:rsidR="008C0A68" w:rsidRDefault="008C0A68" w:rsidP="008C0A68">
      <w:pPr>
        <w:spacing w:line="360" w:lineRule="auto"/>
        <w:jc w:val="both"/>
        <w:rPr>
          <w:szCs w:val="24"/>
        </w:rPr>
      </w:pPr>
      <w:r>
        <w:rPr>
          <w:szCs w:val="24"/>
          <w:lang w:val="en-US"/>
        </w:rPr>
        <w:t>R</w:t>
      </w:r>
      <w:r>
        <w:rPr>
          <w:szCs w:val="24"/>
        </w:rPr>
        <w:t xml:space="preserve"> – стоимость обеспечения до дисконтирования или цена его реализации,</w:t>
      </w:r>
    </w:p>
    <w:p w14:paraId="70F2BE5C" w14:textId="77777777" w:rsidR="008C0A68" w:rsidRDefault="008C0A68" w:rsidP="008C0A68">
      <w:pPr>
        <w:spacing w:line="360" w:lineRule="auto"/>
        <w:jc w:val="both"/>
        <w:rPr>
          <w:szCs w:val="24"/>
        </w:rPr>
      </w:pPr>
      <w:r>
        <w:rPr>
          <w:szCs w:val="24"/>
          <w:lang w:val="en-US"/>
        </w:rPr>
        <w:t>T</w:t>
      </w:r>
      <w:r>
        <w:rPr>
          <w:szCs w:val="24"/>
        </w:rPr>
        <w:t xml:space="preserve"> – количество дней от даты тестирования актива до даты ожидаемого получения обеспечения или до ожидаемого поступления денежных средств от его реализации (в случае, если процедуры получения или реализации обеспечения еще не начаты, в качестве </w:t>
      </w:r>
      <w:r>
        <w:rPr>
          <w:szCs w:val="24"/>
          <w:lang w:val="en-US"/>
        </w:rPr>
        <w:t>T</w:t>
      </w:r>
      <w:r>
        <w:rPr>
          <w:szCs w:val="24"/>
        </w:rPr>
        <w:t xml:space="preserve"> используется полная длительность указанных процедур),</w:t>
      </w:r>
    </w:p>
    <w:p w14:paraId="2B7DCB0E" w14:textId="77777777" w:rsidR="008C0A68" w:rsidRDefault="008C0A68" w:rsidP="008C0A68">
      <w:pPr>
        <w:spacing w:line="360" w:lineRule="auto"/>
        <w:jc w:val="both"/>
        <w:rPr>
          <w:szCs w:val="24"/>
        </w:rPr>
      </w:pPr>
      <w:r>
        <w:rPr>
          <w:szCs w:val="24"/>
          <w:lang w:val="en-US"/>
        </w:rPr>
        <w:t>r</w:t>
      </w:r>
      <w:r>
        <w:rPr>
          <w:szCs w:val="24"/>
        </w:rPr>
        <w:t xml:space="preserve"> – безрисковая ставка для срока </w:t>
      </w:r>
      <w:r>
        <w:rPr>
          <w:szCs w:val="24"/>
          <w:lang w:val="en-US"/>
        </w:rPr>
        <w:t>T</w:t>
      </w:r>
      <w:r>
        <w:rPr>
          <w:szCs w:val="24"/>
        </w:rPr>
        <w:t>, определяемая в соответствии с Приложением №1,</w:t>
      </w:r>
    </w:p>
    <w:p w14:paraId="13E3A6D7" w14:textId="77777777" w:rsidR="008C0A68" w:rsidRDefault="008C0A68" w:rsidP="008C0A68">
      <w:pPr>
        <w:spacing w:line="360" w:lineRule="auto"/>
        <w:jc w:val="both"/>
        <w:rPr>
          <w:szCs w:val="24"/>
        </w:rPr>
      </w:pPr>
      <w:r>
        <w:rPr>
          <w:szCs w:val="24"/>
          <w:lang w:val="en-US"/>
        </w:rPr>
        <w:t>discount</w:t>
      </w:r>
      <w:r>
        <w:rPr>
          <w:szCs w:val="24"/>
        </w:rPr>
        <w:t xml:space="preserve"> – дисконт, зависящий от вида обеспечения.</w:t>
      </w:r>
    </w:p>
    <w:p w14:paraId="1F8435E9" w14:textId="77777777" w:rsidR="008C0A68" w:rsidRDefault="008C0A68" w:rsidP="008C0A68">
      <w:pPr>
        <w:spacing w:line="360" w:lineRule="auto"/>
        <w:ind w:firstLine="708"/>
        <w:jc w:val="both"/>
        <w:rPr>
          <w:szCs w:val="24"/>
        </w:rPr>
      </w:pPr>
      <w:r>
        <w:rPr>
          <w:szCs w:val="24"/>
        </w:rPr>
        <w:t>Величина дисконта (</w:t>
      </w:r>
      <w:r>
        <w:rPr>
          <w:szCs w:val="24"/>
          <w:lang w:val="en-US"/>
        </w:rPr>
        <w:t>discount</w:t>
      </w:r>
      <w:r>
        <w:rPr>
          <w:szCs w:val="24"/>
        </w:rPr>
        <w:t>) и длительность срока (</w:t>
      </w:r>
      <w:r>
        <w:rPr>
          <w:szCs w:val="24"/>
          <w:lang w:val="en-US"/>
        </w:rPr>
        <w:t>T</w:t>
      </w:r>
      <w:r>
        <w:rPr>
          <w:szCs w:val="24"/>
        </w:rPr>
        <w:t xml:space="preserve">) определяются на основании мотивированного суждения управляющей компании, основанного на том, что является предметом обеспечения, условиях договора обеспечения и договора о реализации обеспечения (при наличии), наличии и доступности рынка для продажи предмета обеспечения и величине рыночных цен на него, статистических данных о дисконтах и сроках реализации соответствующего вида активов, информации о сроках судебных разбирательств при обращении взыскания на предмет обеспечения, индивидуальных характеристиках предмета обеспечения  и т.д. </w:t>
      </w:r>
    </w:p>
    <w:p w14:paraId="2E150124" w14:textId="77777777" w:rsidR="008C0A68" w:rsidRDefault="008C0A68" w:rsidP="008C0A68">
      <w:pPr>
        <w:spacing w:line="360" w:lineRule="auto"/>
        <w:ind w:firstLine="708"/>
        <w:jc w:val="both"/>
        <w:rPr>
          <w:szCs w:val="24"/>
        </w:rPr>
      </w:pPr>
    </w:p>
    <w:p w14:paraId="76D97F37" w14:textId="77777777" w:rsidR="008C0A68" w:rsidRDefault="008C0A68" w:rsidP="008C0A68">
      <w:pPr>
        <w:spacing w:line="360" w:lineRule="auto"/>
        <w:jc w:val="both"/>
        <w:rPr>
          <w:szCs w:val="24"/>
        </w:rPr>
      </w:pPr>
      <w:r>
        <w:rPr>
          <w:b/>
          <w:szCs w:val="24"/>
        </w:rPr>
        <w:t>8.3.</w:t>
      </w:r>
      <w:r>
        <w:rPr>
          <w:szCs w:val="24"/>
        </w:rPr>
        <w:t xml:space="preserve"> В случае, если по нескольким обязательствам одного контрагента предоставлено одно обеспечение, и при этом договором не предусмотрен порядок распределения общей суммы обеспечения для покрытия отдельных обязательств, то для целей расчета LGD общая </w:t>
      </w:r>
      <w:r>
        <w:rPr>
          <w:szCs w:val="24"/>
        </w:rPr>
        <w:lastRenderedPageBreak/>
        <w:t>сумма обеспечения распределяется между обязательствами контрагента пропорционально справедливым стоимостям соответствующих активов до их корректировки на обесценение.</w:t>
      </w:r>
    </w:p>
    <w:p w14:paraId="10F26994" w14:textId="77777777" w:rsidR="008C0A68" w:rsidRDefault="008C0A68" w:rsidP="008C0A68">
      <w:pPr>
        <w:rPr>
          <w:rFonts w:ascii="Calibri" w:hAnsi="Calibri"/>
          <w:sz w:val="22"/>
          <w:szCs w:val="22"/>
        </w:rPr>
      </w:pPr>
    </w:p>
    <w:p w14:paraId="3EC90B56" w14:textId="77777777" w:rsidR="008C0A68" w:rsidRDefault="008C0A68" w:rsidP="008C0A68">
      <w:pPr>
        <w:pStyle w:val="affd"/>
      </w:pPr>
      <w:r>
        <w:br w:type="page"/>
      </w:r>
    </w:p>
    <w:p w14:paraId="41C4C167" w14:textId="77777777" w:rsidR="008C0A68" w:rsidRDefault="008C0A68" w:rsidP="008C0A68">
      <w:pPr>
        <w:pStyle w:val="affd"/>
        <w:rPr>
          <w:rFonts w:ascii="Times New Roman" w:hAnsi="Times New Roman"/>
          <w:b w:val="0"/>
        </w:rPr>
      </w:pPr>
      <w:r>
        <w:rPr>
          <w:b w:val="0"/>
        </w:rPr>
        <w:lastRenderedPageBreak/>
        <w:t xml:space="preserve"> </w:t>
      </w:r>
      <w:r>
        <w:rPr>
          <w:b w:val="0"/>
        </w:rPr>
        <w:tab/>
      </w:r>
      <w:r>
        <w:rPr>
          <w:b w:val="0"/>
        </w:rPr>
        <w:tab/>
      </w:r>
      <w:r w:rsidRPr="00801923">
        <w:rPr>
          <w:rFonts w:ascii="Times New Roman" w:hAnsi="Times New Roman"/>
          <w:b w:val="0"/>
        </w:rPr>
        <w:t xml:space="preserve">Приложение </w:t>
      </w:r>
      <w:r>
        <w:rPr>
          <w:rFonts w:ascii="Times New Roman" w:hAnsi="Times New Roman"/>
          <w:b w:val="0"/>
        </w:rPr>
        <w:t>4</w:t>
      </w:r>
      <w:r w:rsidRPr="00801923">
        <w:rPr>
          <w:rFonts w:ascii="Times New Roman" w:hAnsi="Times New Roman"/>
          <w:b w:val="0"/>
        </w:rPr>
        <w:t>.</w:t>
      </w:r>
    </w:p>
    <w:p w14:paraId="343C5A1F" w14:textId="77777777" w:rsidR="008C0A68" w:rsidRPr="00801923" w:rsidRDefault="008C0A68" w:rsidP="008C0A68">
      <w:pPr>
        <w:pStyle w:val="a7"/>
        <w:spacing w:after="100" w:line="240" w:lineRule="auto"/>
        <w:ind w:left="0"/>
        <w:mirrorIndents/>
        <w:rPr>
          <w:rFonts w:ascii="Times New Roman" w:eastAsia="Times New Roman" w:hAnsi="Times New Roman"/>
          <w:b/>
          <w:sz w:val="24"/>
          <w:szCs w:val="24"/>
        </w:rPr>
      </w:pPr>
      <w:r w:rsidRPr="00801923">
        <w:rPr>
          <w:rFonts w:ascii="Times New Roman" w:eastAsia="Times New Roman" w:hAnsi="Times New Roman"/>
          <w:b/>
          <w:sz w:val="24"/>
          <w:szCs w:val="24"/>
        </w:rPr>
        <w:t xml:space="preserve"> Перечень доступных и наблюдаемых биржевых площадок</w:t>
      </w:r>
    </w:p>
    <w:p w14:paraId="0A5A189A" w14:textId="77777777" w:rsidR="008C0A68" w:rsidRPr="00801923" w:rsidRDefault="008C0A68" w:rsidP="008C0A68">
      <w:pPr>
        <w:spacing w:after="100"/>
        <w:contextualSpacing/>
        <w:mirrorIndents/>
        <w:jc w:val="right"/>
        <w:rPr>
          <w:b/>
          <w:szCs w:val="24"/>
          <w:lang w:eastAsia="en-US"/>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8C0A68" w:rsidRPr="00801923" w14:paraId="555A0A0A" w14:textId="77777777" w:rsidTr="00E41AB9">
        <w:tc>
          <w:tcPr>
            <w:tcW w:w="7085" w:type="dxa"/>
            <w:shd w:val="clear" w:color="auto" w:fill="A6A6A6"/>
            <w:hideMark/>
          </w:tcPr>
          <w:p w14:paraId="3D6E8E68" w14:textId="77777777" w:rsidR="008C0A68" w:rsidRPr="00801923" w:rsidRDefault="008C0A68" w:rsidP="00E41AB9">
            <w:pPr>
              <w:autoSpaceDE w:val="0"/>
              <w:autoSpaceDN w:val="0"/>
              <w:adjustRightInd w:val="0"/>
              <w:spacing w:after="100"/>
              <w:contextualSpacing/>
              <w:mirrorIndents/>
              <w:jc w:val="center"/>
              <w:rPr>
                <w:b/>
                <w:i/>
                <w:szCs w:val="24"/>
                <w:lang w:eastAsia="en-US"/>
              </w:rPr>
            </w:pPr>
            <w:r w:rsidRPr="00801923">
              <w:rPr>
                <w:b/>
                <w:i/>
                <w:szCs w:val="24"/>
                <w:lang w:eastAsia="en-US"/>
              </w:rPr>
              <w:t>Доступные и наблюдаемые биржевые площадки</w:t>
            </w:r>
          </w:p>
        </w:tc>
      </w:tr>
      <w:tr w:rsidR="008C0A68" w:rsidRPr="00801923" w14:paraId="0684C144" w14:textId="77777777" w:rsidTr="00E41AB9">
        <w:tc>
          <w:tcPr>
            <w:tcW w:w="7085" w:type="dxa"/>
            <w:hideMark/>
          </w:tcPr>
          <w:p w14:paraId="7A400ECD" w14:textId="77777777" w:rsidR="008C0A68" w:rsidRPr="00801923" w:rsidRDefault="008C0A68" w:rsidP="00E41AB9">
            <w:pPr>
              <w:autoSpaceDE w:val="0"/>
              <w:autoSpaceDN w:val="0"/>
              <w:adjustRightInd w:val="0"/>
              <w:spacing w:after="100"/>
              <w:contextualSpacing/>
              <w:mirrorIndents/>
              <w:jc w:val="both"/>
              <w:rPr>
                <w:szCs w:val="24"/>
                <w:lang w:eastAsia="en-US"/>
              </w:rPr>
            </w:pPr>
            <w:r w:rsidRPr="00801923">
              <w:rPr>
                <w:szCs w:val="24"/>
                <w:lang w:eastAsia="en-US"/>
              </w:rPr>
              <w:t>Публичное акционерное общество "Московская Биржа ММВБ-РТС"</w:t>
            </w:r>
          </w:p>
        </w:tc>
      </w:tr>
    </w:tbl>
    <w:p w14:paraId="2DF70BAC" w14:textId="77777777" w:rsidR="008C0A68" w:rsidRPr="00801923" w:rsidRDefault="008C0A68" w:rsidP="008C0A68">
      <w:pPr>
        <w:spacing w:before="120" w:after="100"/>
        <w:contextualSpacing/>
        <w:mirrorIndents/>
        <w:rPr>
          <w:rFonts w:eastAsia="Batang"/>
          <w:color w:val="000000"/>
          <w:szCs w:val="24"/>
        </w:rPr>
      </w:pPr>
    </w:p>
    <w:p w14:paraId="79878146" w14:textId="77777777" w:rsidR="008C0A68" w:rsidRPr="00801923" w:rsidRDefault="008C0A68" w:rsidP="008C0A68">
      <w:pPr>
        <w:autoSpaceDE w:val="0"/>
        <w:autoSpaceDN w:val="0"/>
        <w:adjustRightInd w:val="0"/>
        <w:spacing w:after="100"/>
        <w:contextualSpacing/>
        <w:mirrorIndents/>
        <w:rPr>
          <w:szCs w:val="24"/>
        </w:rPr>
      </w:pPr>
    </w:p>
    <w:p w14:paraId="5E7758AF" w14:textId="77777777" w:rsidR="008C0A68" w:rsidRPr="008F3278" w:rsidRDefault="008C0A68" w:rsidP="008C0A68">
      <w:pPr>
        <w:tabs>
          <w:tab w:val="left" w:pos="993"/>
        </w:tabs>
        <w:jc w:val="both"/>
        <w:rPr>
          <w:rFonts w:eastAsia="Batang"/>
          <w:sz w:val="22"/>
        </w:rPr>
      </w:pPr>
    </w:p>
    <w:bookmarkEnd w:id="14"/>
    <w:p w14:paraId="2F904B2B" w14:textId="009204F2" w:rsidR="00E327C5" w:rsidRPr="008F3278" w:rsidRDefault="00E327C5" w:rsidP="001C2B7D">
      <w:pPr>
        <w:tabs>
          <w:tab w:val="left" w:pos="993"/>
        </w:tabs>
        <w:jc w:val="both"/>
        <w:rPr>
          <w:rFonts w:eastAsia="Batang"/>
          <w:sz w:val="22"/>
        </w:rPr>
      </w:pPr>
    </w:p>
    <w:sectPr w:rsidR="00E327C5" w:rsidRPr="008F3278" w:rsidSect="000A0776">
      <w:footerReference w:type="default" r:id="rId105"/>
      <w:pgSz w:w="11906" w:h="16838"/>
      <w:pgMar w:top="851" w:right="1758"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58646" w14:textId="77777777" w:rsidR="00794164" w:rsidRDefault="00794164" w:rsidP="003830AE">
      <w:r>
        <w:separator/>
      </w:r>
    </w:p>
  </w:endnote>
  <w:endnote w:type="continuationSeparator" w:id="0">
    <w:p w14:paraId="726B19B2" w14:textId="77777777" w:rsidR="00794164" w:rsidRDefault="00794164"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4D71E" w14:textId="25BCC2D3" w:rsidR="008D3527" w:rsidRDefault="008D3527">
    <w:pPr>
      <w:pStyle w:val="af6"/>
      <w:jc w:val="right"/>
    </w:pPr>
    <w:r>
      <w:fldChar w:fldCharType="begin"/>
    </w:r>
    <w:r>
      <w:instrText>PAGE   \* MERGEFORMAT</w:instrText>
    </w:r>
    <w:r>
      <w:fldChar w:fldCharType="separate"/>
    </w:r>
    <w:r>
      <w:rPr>
        <w:noProof/>
      </w:rPr>
      <w:t>53</w:t>
    </w:r>
    <w:r>
      <w:fldChar w:fldCharType="end"/>
    </w:r>
  </w:p>
  <w:p w14:paraId="1E8D6C2C" w14:textId="77777777" w:rsidR="008D3527" w:rsidRDefault="008D3527">
    <w:pPr>
      <w:pStyle w:val="af6"/>
    </w:pPr>
  </w:p>
  <w:p w14:paraId="327B9865" w14:textId="77777777" w:rsidR="008D3527" w:rsidRDefault="008D35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45840" w14:textId="0C383625" w:rsidR="008D3527" w:rsidRDefault="008D3527">
    <w:pPr>
      <w:pStyle w:val="af6"/>
      <w:jc w:val="right"/>
    </w:pPr>
    <w:r>
      <w:fldChar w:fldCharType="begin"/>
    </w:r>
    <w:r>
      <w:instrText>PAGE   \* MERGEFORMAT</w:instrText>
    </w:r>
    <w:r>
      <w:fldChar w:fldCharType="separate"/>
    </w:r>
    <w:r>
      <w:rPr>
        <w:noProof/>
      </w:rPr>
      <w:t>80</w:t>
    </w:r>
    <w:r>
      <w:fldChar w:fldCharType="end"/>
    </w:r>
  </w:p>
  <w:p w14:paraId="34FA5216" w14:textId="77777777" w:rsidR="008D3527" w:rsidRDefault="008D3527">
    <w:pPr>
      <w:pStyle w:val="af6"/>
    </w:pPr>
  </w:p>
  <w:p w14:paraId="022BF0BC" w14:textId="77777777" w:rsidR="008D3527" w:rsidRDefault="008D35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00A4F" w14:textId="77777777" w:rsidR="00794164" w:rsidRDefault="00794164" w:rsidP="003830AE">
      <w:r>
        <w:separator/>
      </w:r>
    </w:p>
  </w:footnote>
  <w:footnote w:type="continuationSeparator" w:id="0">
    <w:p w14:paraId="18268B1A" w14:textId="77777777" w:rsidR="00794164" w:rsidRDefault="00794164" w:rsidP="003830AE">
      <w:r>
        <w:continuationSeparator/>
      </w:r>
    </w:p>
  </w:footnote>
  <w:footnote w:id="1">
    <w:p w14:paraId="373C6E75" w14:textId="77777777" w:rsidR="008D3527" w:rsidRDefault="008D3527" w:rsidP="008C0A68">
      <w:pPr>
        <w:pStyle w:val="af"/>
      </w:pPr>
      <w:r>
        <w:rPr>
          <w:rStyle w:val="af1"/>
        </w:rPr>
        <w:footnoteRef/>
      </w:r>
      <w:r>
        <w:t xml:space="preserve"> </w:t>
      </w:r>
      <w:r w:rsidRPr="00AB0FFE">
        <w:rPr>
          <w:sz w:val="16"/>
          <w:szCs w:val="16"/>
        </w:rPr>
        <w:t>Под торговой сессией допустимо понимать торговый день в зависимости от источника данных</w:t>
      </w:r>
    </w:p>
  </w:footnote>
  <w:footnote w:id="2">
    <w:p w14:paraId="00CF58ED" w14:textId="77777777" w:rsidR="008D3527" w:rsidRPr="00E94324" w:rsidRDefault="008D3527" w:rsidP="00E41AB9">
      <w:pPr>
        <w:pStyle w:val="af"/>
        <w:jc w:val="both"/>
        <w:rPr>
          <w:sz w:val="10"/>
          <w:szCs w:val="10"/>
        </w:rPr>
      </w:pPr>
      <w:r>
        <w:rPr>
          <w:rStyle w:val="af1"/>
        </w:rPr>
        <w:footnoteRef/>
      </w:r>
      <w:r>
        <w:t xml:space="preserve"> </w:t>
      </w:r>
      <w:r w:rsidRPr="00E94324">
        <w:rPr>
          <w:sz w:val="10"/>
          <w:szCs w:val="10"/>
        </w:rPr>
        <w:t>При расчете медианного кредитного спреда для I, II, III рейтинговых групп используются значение Ставки КБД в точке, соответствующей дюрации советующего рейтинговой группе индекса и значения доходности облигационных индексов Московской биржи за ряд сопоставимых дат, состоящий из 20 последних торговых дней подряд.</w:t>
      </w:r>
    </w:p>
  </w:footnote>
  <w:footnote w:id="3">
    <w:p w14:paraId="2D933066" w14:textId="77777777" w:rsidR="008D3527" w:rsidRPr="00E94324" w:rsidRDefault="008D3527" w:rsidP="00E41AB9">
      <w:pPr>
        <w:pStyle w:val="af"/>
        <w:jc w:val="both"/>
        <w:rPr>
          <w:sz w:val="10"/>
          <w:szCs w:val="10"/>
        </w:rPr>
      </w:pPr>
      <w:r>
        <w:rPr>
          <w:rStyle w:val="af1"/>
        </w:rPr>
        <w:footnoteRef/>
      </w:r>
      <w:r>
        <w:t xml:space="preserve"> </w:t>
      </w:r>
      <w:r w:rsidRPr="00E94324">
        <w:rPr>
          <w:rFonts w:ascii="Times New Roman" w:hAnsi="Times New Roman"/>
          <w:sz w:val="10"/>
          <w:szCs w:val="10"/>
        </w:rPr>
        <w:t>Если на дату определения справедливой стоимости долговой ценной бумаги, включенной в IV рейтинговую группу, значение медианного кредитного спреда для неё не установлено, то расчетная цена такой долговой ценной бумаги определенная методом приведенной стоимости будущих денежных потоков признается равной нулю.</w:t>
      </w:r>
    </w:p>
  </w:footnote>
  <w:footnote w:id="4">
    <w:p w14:paraId="02B48AA8" w14:textId="77777777" w:rsidR="008D3527" w:rsidRPr="00E94324" w:rsidRDefault="008D3527" w:rsidP="00E41AB9">
      <w:pPr>
        <w:pStyle w:val="af"/>
        <w:jc w:val="both"/>
        <w:rPr>
          <w:rFonts w:ascii="Times New Roman" w:hAnsi="Times New Roman"/>
          <w:sz w:val="10"/>
          <w:szCs w:val="10"/>
        </w:rPr>
      </w:pPr>
      <w:r>
        <w:rPr>
          <w:rStyle w:val="af1"/>
        </w:rPr>
        <w:footnoteRef/>
      </w:r>
      <w:r>
        <w:t xml:space="preserve"> </w:t>
      </w:r>
      <w:r w:rsidRPr="00E94324">
        <w:rPr>
          <w:rFonts w:ascii="Times New Roman" w:hAnsi="Times New Roman"/>
          <w:sz w:val="10"/>
          <w:szCs w:val="10"/>
        </w:rPr>
        <w:t xml:space="preserve">Определение частоты дефолтов производится на основании публичных доступных данных по дефолтам, публикуемых на сайте соответствующего агентства. </w:t>
      </w:r>
    </w:p>
    <w:p w14:paraId="63380697" w14:textId="77777777" w:rsidR="008D3527" w:rsidRDefault="008D3527" w:rsidP="00E41AB9">
      <w:pPr>
        <w:pStyle w:val="af"/>
        <w:jc w:val="both"/>
      </w:pPr>
      <w:r w:rsidRPr="00E94324">
        <w:rPr>
          <w:rFonts w:ascii="Times New Roman" w:hAnsi="Times New Roman"/>
          <w:sz w:val="10"/>
          <w:szCs w:val="10"/>
        </w:rPr>
        <w:t>Дефолт в отношении хотя бы одного обязательства, предусмотренного хотя бы одним выпуском долговых ценных бумаг эмитента, предполагает дефолт эмитента.</w:t>
      </w:r>
    </w:p>
  </w:footnote>
  <w:footnote w:id="5">
    <w:p w14:paraId="7761AFD9" w14:textId="77777777" w:rsidR="008D3527" w:rsidRPr="00E94324" w:rsidRDefault="008D3527" w:rsidP="00E41AB9">
      <w:pPr>
        <w:pStyle w:val="af"/>
        <w:rPr>
          <w:sz w:val="16"/>
          <w:szCs w:val="16"/>
        </w:rPr>
      </w:pPr>
      <w:r w:rsidRPr="00E94324">
        <w:rPr>
          <w:rStyle w:val="af1"/>
          <w:sz w:val="16"/>
          <w:szCs w:val="16"/>
        </w:rPr>
        <w:footnoteRef/>
      </w:r>
      <w:r w:rsidRPr="00E94324">
        <w:rPr>
          <w:sz w:val="16"/>
          <w:szCs w:val="16"/>
        </w:rPr>
        <w:t xml:space="preserve"> </w:t>
      </w:r>
      <w:hyperlink r:id="rId1" w:history="1">
        <w:r w:rsidRPr="00E94324">
          <w:rPr>
            <w:rStyle w:val="a9"/>
            <w:sz w:val="16"/>
            <w:szCs w:val="16"/>
          </w:rPr>
          <w:t>https://home.treasury.gov/resource-center/data-chart-center/interest-rates/TextView?type=daily_treasury_yield_curve&amp;field_tdr_date_value_month=202211</w:t>
        </w:r>
      </w:hyperlink>
    </w:p>
    <w:p w14:paraId="79A420F3" w14:textId="77777777" w:rsidR="008D3527" w:rsidRPr="00E94324" w:rsidRDefault="008D3527" w:rsidP="00E41AB9">
      <w:pPr>
        <w:pStyle w:val="af"/>
        <w:rPr>
          <w:sz w:val="16"/>
          <w:szCs w:val="16"/>
        </w:rPr>
      </w:pPr>
    </w:p>
  </w:footnote>
  <w:footnote w:id="6">
    <w:p w14:paraId="2890F3B4" w14:textId="77777777" w:rsidR="008D3527" w:rsidRPr="00E94324" w:rsidRDefault="008D3527" w:rsidP="00E41AB9">
      <w:pPr>
        <w:pStyle w:val="af"/>
        <w:rPr>
          <w:sz w:val="16"/>
          <w:szCs w:val="16"/>
        </w:rPr>
      </w:pPr>
      <w:r w:rsidRPr="00E94324">
        <w:rPr>
          <w:rStyle w:val="af1"/>
          <w:sz w:val="16"/>
          <w:szCs w:val="16"/>
        </w:rPr>
        <w:footnoteRef/>
      </w:r>
      <w:r w:rsidRPr="00E94324">
        <w:rPr>
          <w:sz w:val="16"/>
          <w:szCs w:val="16"/>
        </w:rPr>
        <w:t xml:space="preserve"> </w:t>
      </w:r>
      <w:hyperlink r:id="rId2" w:history="1">
        <w:r w:rsidRPr="00E94324">
          <w:rPr>
            <w:rStyle w:val="a9"/>
            <w:sz w:val="16"/>
            <w:szCs w:val="16"/>
          </w:rPr>
          <w:t>https://www.ecb.europa.eu/stats/financial_markets_and_interest_rates/euro_area_yield_curves/html/index.en.html</w:t>
        </w:r>
      </w:hyperlink>
      <w:r w:rsidRPr="00E94324">
        <w:rPr>
          <w:rStyle w:val="a9"/>
          <w:sz w:val="16"/>
          <w:szCs w:val="16"/>
        </w:rPr>
        <w:t xml:space="preserve"> Используются значения параметра </w:t>
      </w:r>
      <w:r w:rsidRPr="00E94324">
        <w:rPr>
          <w:rStyle w:val="a9"/>
          <w:sz w:val="16"/>
          <w:szCs w:val="16"/>
          <w:lang w:val="en-US"/>
        </w:rPr>
        <w:t>Spot</w:t>
      </w:r>
      <w:r w:rsidRPr="00E94324">
        <w:rPr>
          <w:rStyle w:val="a9"/>
          <w:sz w:val="16"/>
          <w:szCs w:val="16"/>
        </w:rPr>
        <w:t xml:space="preserve"> </w:t>
      </w:r>
      <w:r w:rsidRPr="00E94324">
        <w:rPr>
          <w:rStyle w:val="a9"/>
          <w:sz w:val="16"/>
          <w:szCs w:val="16"/>
          <w:lang w:val="en-US"/>
        </w:rPr>
        <w:t>Rate</w:t>
      </w:r>
      <w:r w:rsidRPr="00E94324">
        <w:rPr>
          <w:rStyle w:val="a9"/>
          <w:sz w:val="16"/>
          <w:szCs w:val="16"/>
        </w:rPr>
        <w:t xml:space="preserve"> для всех доступных облигаций (</w:t>
      </w:r>
      <w:r w:rsidRPr="00E94324">
        <w:rPr>
          <w:rStyle w:val="a9"/>
          <w:sz w:val="16"/>
          <w:szCs w:val="16"/>
          <w:lang w:val="en-US"/>
        </w:rPr>
        <w:t>all</w:t>
      </w:r>
      <w:r w:rsidRPr="00E94324">
        <w:rPr>
          <w:rStyle w:val="a9"/>
          <w:sz w:val="16"/>
          <w:szCs w:val="16"/>
        </w:rPr>
        <w:t xml:space="preserve"> </w:t>
      </w:r>
      <w:r w:rsidRPr="00E94324">
        <w:rPr>
          <w:rStyle w:val="a9"/>
          <w:sz w:val="16"/>
          <w:szCs w:val="16"/>
          <w:lang w:val="en-US"/>
        </w:rPr>
        <w:t>bonds</w:t>
      </w:r>
      <w:r w:rsidRPr="00E94324">
        <w:rPr>
          <w:rStyle w:val="a9"/>
          <w:sz w:val="16"/>
          <w:szCs w:val="16"/>
        </w:rPr>
        <w:t>).</w:t>
      </w:r>
    </w:p>
  </w:footnote>
  <w:footnote w:id="7">
    <w:p w14:paraId="5BE209BE" w14:textId="77777777" w:rsidR="008D3527" w:rsidRPr="00E94324" w:rsidRDefault="008D3527" w:rsidP="00E41AB9">
      <w:pPr>
        <w:pStyle w:val="af"/>
        <w:rPr>
          <w:sz w:val="16"/>
          <w:szCs w:val="16"/>
        </w:rPr>
      </w:pPr>
      <w:r w:rsidRPr="00E94324">
        <w:rPr>
          <w:rStyle w:val="af1"/>
          <w:sz w:val="16"/>
          <w:szCs w:val="16"/>
        </w:rPr>
        <w:footnoteRef/>
      </w:r>
      <w:r w:rsidRPr="00E94324">
        <w:rPr>
          <w:sz w:val="16"/>
          <w:szCs w:val="16"/>
        </w:rPr>
        <w:t xml:space="preserve"> </w:t>
      </w:r>
      <w:r w:rsidRPr="00E94324">
        <w:rPr>
          <w:rFonts w:ascii="Times New Roman" w:hAnsi="Times New Roman"/>
          <w:sz w:val="16"/>
          <w:szCs w:val="16"/>
        </w:rPr>
        <w:t>Под датой оферты (Put-оферта) понимается дата наступления события оферта, определенная условиями выпуска.</w:t>
      </w:r>
    </w:p>
  </w:footnote>
  <w:footnote w:id="8">
    <w:p w14:paraId="05886B58" w14:textId="77777777" w:rsidR="008D3527" w:rsidRDefault="008D3527" w:rsidP="00C906AE">
      <w:pPr>
        <w:pStyle w:val="af"/>
      </w:pPr>
      <w:r w:rsidRPr="00C906AE">
        <w:rPr>
          <w:rStyle w:val="af1"/>
          <w:rFonts w:ascii="Times New Roman" w:hAnsi="Times New Roman"/>
          <w:sz w:val="20"/>
        </w:rPr>
        <w:footnoteRef/>
      </w:r>
      <w:r>
        <w:rPr>
          <w:rStyle w:val="a9"/>
          <w:rFonts w:ascii="Times New Roman" w:hAnsi="Times New Roman"/>
          <w:sz w:val="20"/>
        </w:rPr>
        <w:t xml:space="preserve"> </w:t>
      </w:r>
      <w:r w:rsidRPr="00C906AE">
        <w:rPr>
          <w:rStyle w:val="a9"/>
          <w:rFonts w:ascii="Times New Roman" w:hAnsi="Times New Roman"/>
          <w:sz w:val="20"/>
        </w:rPr>
        <w:t>https://www.moex.com/a3642</w:t>
      </w:r>
    </w:p>
  </w:footnote>
  <w:footnote w:id="9">
    <w:p w14:paraId="23920DF6" w14:textId="77777777" w:rsidR="008D3527" w:rsidRPr="00B14325" w:rsidRDefault="008D3527" w:rsidP="008C0A68">
      <w:pPr>
        <w:pStyle w:val="af"/>
        <w:rPr>
          <w:rFonts w:ascii="Times New Roman" w:hAnsi="Times New Roman"/>
        </w:rPr>
      </w:pPr>
      <w:r w:rsidRPr="00B14325">
        <w:rPr>
          <w:rStyle w:val="af1"/>
          <w:rFonts w:ascii="Times New Roman" w:hAnsi="Times New Roman"/>
        </w:rPr>
        <w:footnoteRef/>
      </w:r>
      <w:r w:rsidRPr="00B14325">
        <w:rPr>
          <w:rFonts w:ascii="Times New Roman" w:hAnsi="Times New Roman"/>
        </w:rPr>
        <w:t xml:space="preserve"> </w:t>
      </w:r>
      <w:r w:rsidRPr="00B14325">
        <w:rPr>
          <w:rFonts w:ascii="Times New Roman" w:hAnsi="Times New Roman"/>
          <w:sz w:val="16"/>
          <w:szCs w:val="16"/>
        </w:rPr>
        <w:t xml:space="preserve">Соответствует функции СТАНДОТКЛОН.Г в программе </w:t>
      </w:r>
      <w:r w:rsidRPr="00B14325">
        <w:rPr>
          <w:rFonts w:ascii="Times New Roman" w:hAnsi="Times New Roman"/>
          <w:sz w:val="16"/>
          <w:szCs w:val="16"/>
          <w:lang w:val="en-US"/>
        </w:rPr>
        <w:t>MS</w:t>
      </w:r>
      <w:r w:rsidRPr="00B14325">
        <w:rPr>
          <w:rFonts w:ascii="Times New Roman" w:hAnsi="Times New Roman"/>
          <w:sz w:val="16"/>
          <w:szCs w:val="16"/>
        </w:rPr>
        <w:t xml:space="preserve"> </w:t>
      </w:r>
      <w:r w:rsidRPr="00B14325">
        <w:rPr>
          <w:rFonts w:ascii="Times New Roman" w:hAnsi="Times New Roman"/>
          <w:sz w:val="16"/>
          <w:szCs w:val="16"/>
          <w:lang w:val="en-US"/>
        </w:rPr>
        <w:t>Excel</w:t>
      </w:r>
    </w:p>
  </w:footnote>
  <w:footnote w:id="10">
    <w:p w14:paraId="352E6EC9" w14:textId="77777777" w:rsidR="008D3527" w:rsidRPr="00FE471A" w:rsidRDefault="008D3527" w:rsidP="008C0A68">
      <w:pPr>
        <w:pStyle w:val="af"/>
        <w:spacing w:line="360" w:lineRule="auto"/>
        <w:jc w:val="both"/>
        <w:rPr>
          <w:rFonts w:eastAsia="Batang"/>
          <w:i/>
          <w:color w:val="000000"/>
          <w:sz w:val="16"/>
          <w:szCs w:val="16"/>
          <w:lang w:eastAsia="ru-RU"/>
        </w:rPr>
      </w:pPr>
      <w:r w:rsidRPr="0037652C">
        <w:rPr>
          <w:rStyle w:val="af1"/>
          <w:sz w:val="16"/>
          <w:szCs w:val="16"/>
        </w:rPr>
        <w:footnoteRef/>
      </w:r>
      <w:r w:rsidRPr="0037652C">
        <w:rPr>
          <w:sz w:val="16"/>
          <w:szCs w:val="16"/>
        </w:rPr>
        <w:t xml:space="preserve"> </w:t>
      </w:r>
      <w:hyperlink r:id="rId3" w:anchor="CheckedItem" w:history="1">
        <w:r w:rsidRPr="0037652C">
          <w:rPr>
            <w:rStyle w:val="a9"/>
            <w:sz w:val="16"/>
            <w:szCs w:val="16"/>
          </w:rPr>
          <w:t>http://www.cbr.ru/statistics/?PrtId=int_rat&amp;ch=PAR_11965#CheckedItem</w:t>
        </w:r>
      </w:hyperlink>
      <w:r w:rsidRPr="0037652C">
        <w:rPr>
          <w:sz w:val="16"/>
          <w:szCs w:val="16"/>
        </w:rPr>
        <w:t>.</w:t>
      </w:r>
      <w:r w:rsidRPr="00FE471A">
        <w:rPr>
          <w:i/>
          <w:sz w:val="16"/>
          <w:szCs w:val="16"/>
        </w:rPr>
        <w:t xml:space="preserve"> </w:t>
      </w:r>
    </w:p>
  </w:footnote>
  <w:footnote w:id="11">
    <w:p w14:paraId="515CD562" w14:textId="77777777" w:rsidR="008D3527" w:rsidRDefault="008D3527" w:rsidP="008C0A68">
      <w:pPr>
        <w:pStyle w:val="af"/>
        <w:rPr>
          <w:rFonts w:ascii="Times New Roman" w:hAnsi="Times New Roman"/>
        </w:rPr>
      </w:pPr>
      <w:r>
        <w:rPr>
          <w:rStyle w:val="af1"/>
          <w:rFonts w:ascii="Times New Roman" w:hAnsi="Times New Roman"/>
        </w:rPr>
        <w:footnoteRef/>
      </w:r>
      <w:r>
        <w:rPr>
          <w:rFonts w:ascii="Times New Roman" w:hAnsi="Times New Roman"/>
        </w:rPr>
        <w:t xml:space="preserve"> По международной рейтинговой шкале в соответствующей валюте актива</w:t>
      </w:r>
    </w:p>
  </w:footnote>
  <w:footnote w:id="12">
    <w:p w14:paraId="7172EB90" w14:textId="77777777" w:rsidR="008D3527" w:rsidRDefault="008D3527" w:rsidP="008C0A68">
      <w:pPr>
        <w:pStyle w:val="af"/>
      </w:pPr>
      <w:r>
        <w:rPr>
          <w:rStyle w:val="af1"/>
          <w:rFonts w:ascii="Times New Roman" w:hAnsi="Times New Roman"/>
        </w:rPr>
        <w:footnoteRef/>
      </w:r>
      <w:r>
        <w:rPr>
          <w:rFonts w:ascii="Times New Roman" w:hAnsi="Times New Roman"/>
        </w:rPr>
        <w:t xml:space="preserve"> По национальной рейтинговой шкале в национальной валюте</w:t>
      </w:r>
    </w:p>
  </w:footnote>
  <w:footnote w:id="13">
    <w:p w14:paraId="60C3E0C8" w14:textId="77777777" w:rsidR="008D3527" w:rsidRDefault="008D3527" w:rsidP="008C0A68">
      <w:r>
        <w:rPr>
          <w:rStyle w:val="af1"/>
        </w:rPr>
        <w:footnoteRef/>
      </w:r>
      <w:r>
        <w:t xml:space="preserve"> </w:t>
      </w:r>
      <w:r>
        <w:rPr>
          <w:sz w:val="20"/>
        </w:rPr>
        <w:t xml:space="preserve">Данные приведены на основании актуального отчета Исторические данные об уровнях дефолта по рейтинговым категориям применяемых рейтинговых шкал на 01.07.2025. Источник </w:t>
      </w:r>
    </w:p>
    <w:p w14:paraId="55934108" w14:textId="77777777" w:rsidR="008D3527" w:rsidRDefault="002B470C" w:rsidP="008C0A68">
      <w:hyperlink r:id="rId4" w:history="1">
        <w:r w:rsidR="008D3527">
          <w:rPr>
            <w:rStyle w:val="a9"/>
          </w:rPr>
          <w:t>https://raexpert.ru/about/disclosure/default-level-data/</w:t>
        </w:r>
      </w:hyperlink>
    </w:p>
    <w:p w14:paraId="0D32AAB9" w14:textId="77777777" w:rsidR="008D3527" w:rsidRDefault="008D3527" w:rsidP="008C0A68">
      <w:pPr>
        <w:rPr>
          <w:color w:val="1F497D"/>
        </w:rPr>
      </w:pPr>
    </w:p>
  </w:footnote>
  <w:footnote w:id="14">
    <w:p w14:paraId="6BCC3460" w14:textId="77777777" w:rsidR="008D3527" w:rsidRDefault="008D3527" w:rsidP="008C0A68">
      <w:pPr>
        <w:pStyle w:val="af"/>
      </w:pPr>
      <w:r>
        <w:rPr>
          <w:rStyle w:val="af1"/>
        </w:rPr>
        <w:footnoteRef/>
      </w:r>
      <w:r>
        <w:t xml:space="preserve"> </w:t>
      </w:r>
      <w:r>
        <w:rPr>
          <w:rFonts w:ascii="Times New Roman" w:hAnsi="Times New Roman"/>
        </w:rPr>
        <w:t>Вероятность дефолта установлена управляющей компанией</w:t>
      </w:r>
    </w:p>
  </w:footnote>
  <w:footnote w:id="15">
    <w:p w14:paraId="1402376C" w14:textId="77777777" w:rsidR="008D3527" w:rsidRDefault="008D3527" w:rsidP="008C0A68">
      <w:pPr>
        <w:pStyle w:val="af"/>
      </w:pPr>
      <w:r>
        <w:rPr>
          <w:rStyle w:val="af1"/>
        </w:rPr>
        <w:footnoteRef/>
      </w:r>
      <w:r>
        <w:t xml:space="preserve"> </w:t>
      </w:r>
      <w:r>
        <w:rPr>
          <w:rFonts w:ascii="Times New Roman" w:hAnsi="Times New Roman"/>
        </w:rPr>
        <w:t>Вероятность дефолта установлена управляющей компанией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442E13"/>
    <w:multiLevelType w:val="hybridMultilevel"/>
    <w:tmpl w:val="B3E04356"/>
    <w:lvl w:ilvl="0" w:tplc="04190001">
      <w:start w:val="1"/>
      <w:numFmt w:val="bullet"/>
      <w:lvlText w:val=""/>
      <w:lvlJc w:val="left"/>
      <w:pPr>
        <w:ind w:left="720" w:hanging="360"/>
      </w:pPr>
      <w:rPr>
        <w:rFonts w:ascii="Symbol" w:hAnsi="Symbol"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7A1D80"/>
    <w:multiLevelType w:val="hybridMultilevel"/>
    <w:tmpl w:val="FE6E752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E713A39"/>
    <w:multiLevelType w:val="hybridMultilevel"/>
    <w:tmpl w:val="B5BC6A8E"/>
    <w:lvl w:ilvl="0" w:tplc="04190001">
      <w:start w:val="1"/>
      <w:numFmt w:val="bullet"/>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5" w15:restartNumberingAfterBreak="0">
    <w:nsid w:val="10F401F7"/>
    <w:multiLevelType w:val="hybridMultilevel"/>
    <w:tmpl w:val="44DE4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2D514F"/>
    <w:multiLevelType w:val="hybridMultilevel"/>
    <w:tmpl w:val="DBE44A9C"/>
    <w:lvl w:ilvl="0" w:tplc="D47C4F72">
      <w:start w:val="1"/>
      <w:numFmt w:val="bullet"/>
      <w:pStyle w:val="a"/>
      <w:lvlText w:val=""/>
      <w:lvlJc w:val="left"/>
      <w:pPr>
        <w:ind w:left="720" w:hanging="360"/>
      </w:pPr>
      <w:rPr>
        <w:rFonts w:ascii="Symbol" w:hAnsi="Symbol" w:hint="default"/>
        <w:color w:val="943634"/>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8F09C5"/>
    <w:multiLevelType w:val="hybridMultilevel"/>
    <w:tmpl w:val="DC66E010"/>
    <w:lvl w:ilvl="0" w:tplc="6E985266">
      <w:start w:val="1"/>
      <w:numFmt w:val="decimal"/>
      <w:pStyle w:val="1"/>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9A2429"/>
    <w:multiLevelType w:val="hybridMultilevel"/>
    <w:tmpl w:val="AD5E928A"/>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9" w15:restartNumberingAfterBreak="0">
    <w:nsid w:val="1B1643D5"/>
    <w:multiLevelType w:val="hybridMultilevel"/>
    <w:tmpl w:val="F75056D6"/>
    <w:lvl w:ilvl="0" w:tplc="ACB0838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B0DC7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50834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9E2E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5ADA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00FE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6A94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82585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E0178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E2C2976"/>
    <w:multiLevelType w:val="hybridMultilevel"/>
    <w:tmpl w:val="BE960C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11127E"/>
    <w:multiLevelType w:val="hybridMultilevel"/>
    <w:tmpl w:val="39F0F9D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FD434F0"/>
    <w:multiLevelType w:val="multilevel"/>
    <w:tmpl w:val="C3AE97B0"/>
    <w:lvl w:ilvl="0">
      <w:start w:val="3"/>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720" w:hanging="720"/>
      </w:pPr>
      <w:rPr>
        <w:b/>
        <w:i/>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8311F9"/>
    <w:multiLevelType w:val="hybridMultilevel"/>
    <w:tmpl w:val="7E749B3A"/>
    <w:lvl w:ilvl="0" w:tplc="9056BC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3C9A16">
      <w:start w:val="1"/>
      <w:numFmt w:val="bullet"/>
      <w:lvlText w:val="o"/>
      <w:lvlJc w:val="left"/>
      <w:pPr>
        <w:ind w:left="1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6C9A7E">
      <w:start w:val="1"/>
      <w:numFmt w:val="bullet"/>
      <w:lvlText w:val="▪"/>
      <w:lvlJc w:val="left"/>
      <w:pPr>
        <w:ind w:left="20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D45E04">
      <w:start w:val="1"/>
      <w:numFmt w:val="bullet"/>
      <w:lvlText w:val="•"/>
      <w:lvlJc w:val="left"/>
      <w:pPr>
        <w:ind w:left="2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4C219C">
      <w:start w:val="1"/>
      <w:numFmt w:val="bullet"/>
      <w:lvlText w:val="o"/>
      <w:lvlJc w:val="left"/>
      <w:pPr>
        <w:ind w:left="3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0A22C6">
      <w:start w:val="1"/>
      <w:numFmt w:val="bullet"/>
      <w:lvlText w:val="▪"/>
      <w:lvlJc w:val="left"/>
      <w:pPr>
        <w:ind w:left="4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802B84">
      <w:start w:val="1"/>
      <w:numFmt w:val="bullet"/>
      <w:lvlText w:val="•"/>
      <w:lvlJc w:val="left"/>
      <w:pPr>
        <w:ind w:left="48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B659B2">
      <w:start w:val="1"/>
      <w:numFmt w:val="bullet"/>
      <w:lvlText w:val="o"/>
      <w:lvlJc w:val="left"/>
      <w:pPr>
        <w:ind w:left="56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940708">
      <w:start w:val="1"/>
      <w:numFmt w:val="bullet"/>
      <w:lvlText w:val="▪"/>
      <w:lvlJc w:val="left"/>
      <w:pPr>
        <w:ind w:left="6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E84F18"/>
    <w:multiLevelType w:val="hybridMultilevel"/>
    <w:tmpl w:val="343651F6"/>
    <w:lvl w:ilvl="0" w:tplc="A7EA6876">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6A4FC5"/>
    <w:multiLevelType w:val="multilevel"/>
    <w:tmpl w:val="9BDA8D6E"/>
    <w:lvl w:ilvl="0">
      <w:start w:val="1"/>
      <w:numFmt w:val="decimal"/>
      <w:lvlText w:val="%1."/>
      <w:lvlJc w:val="left"/>
      <w:pPr>
        <w:ind w:left="36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8B579E"/>
    <w:multiLevelType w:val="hybridMultilevel"/>
    <w:tmpl w:val="0B7E2F3A"/>
    <w:lvl w:ilvl="0" w:tplc="2FF64AF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6070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F0D6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7457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28B9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EAAC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0870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422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0E76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E034081"/>
    <w:multiLevelType w:val="multilevel"/>
    <w:tmpl w:val="D0563090"/>
    <w:lvl w:ilvl="0">
      <w:start w:val="1"/>
      <w:numFmt w:val="decimal"/>
      <w:pStyle w:val="10"/>
      <w:lvlText w:val="%1."/>
      <w:lvlJc w:val="left"/>
      <w:pPr>
        <w:ind w:left="360" w:hanging="360"/>
      </w:p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9" w15:restartNumberingAfterBreak="0">
    <w:nsid w:val="4836042A"/>
    <w:multiLevelType w:val="hybridMultilevel"/>
    <w:tmpl w:val="D16A673E"/>
    <w:lvl w:ilvl="0" w:tplc="23A24DFE">
      <w:start w:val="1"/>
      <w:numFmt w:val="bullet"/>
      <w:pStyle w:val="-"/>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 w15:restartNumberingAfterBreak="0">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C2330FE"/>
    <w:multiLevelType w:val="multilevel"/>
    <w:tmpl w:val="7A3E10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2C9281C"/>
    <w:multiLevelType w:val="hybridMultilevel"/>
    <w:tmpl w:val="6A106602"/>
    <w:lvl w:ilvl="0" w:tplc="E8302F1A">
      <w:start w:val="1"/>
      <w:numFmt w:val="lowerLetter"/>
      <w:lvlText w:val="%1)"/>
      <w:lvlJc w:val="left"/>
      <w:pPr>
        <w:ind w:left="1494"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3" w15:restartNumberingAfterBreak="0">
    <w:nsid w:val="535944B8"/>
    <w:multiLevelType w:val="multilevel"/>
    <w:tmpl w:val="86EEF79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4AF1485"/>
    <w:multiLevelType w:val="hybridMultilevel"/>
    <w:tmpl w:val="CE8677FA"/>
    <w:lvl w:ilvl="0" w:tplc="AD24C874">
      <w:start w:val="4"/>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596AEC"/>
    <w:multiLevelType w:val="multilevel"/>
    <w:tmpl w:val="61487DB6"/>
    <w:lvl w:ilvl="0">
      <w:start w:val="2"/>
      <w:numFmt w:val="decimal"/>
      <w:lvlText w:val="%1."/>
      <w:lvlJc w:val="left"/>
      <w:pPr>
        <w:ind w:left="360" w:hanging="360"/>
      </w:pPr>
      <w:rPr>
        <w:rFonts w:hint="default"/>
      </w:rPr>
    </w:lvl>
    <w:lvl w:ilvl="1">
      <w:start w:val="1"/>
      <w:numFmt w:val="decimal"/>
      <w:pStyle w:val="a0"/>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84303A"/>
    <w:multiLevelType w:val="multilevel"/>
    <w:tmpl w:val="8C7E3F56"/>
    <w:lvl w:ilvl="0">
      <w:start w:val="1"/>
      <w:numFmt w:val="decimal"/>
      <w:lvlText w:val="%1."/>
      <w:lvlJc w:val="left"/>
      <w:pPr>
        <w:ind w:left="360" w:hanging="360"/>
      </w:pPr>
      <w:rPr>
        <w:rFonts w:hint="default"/>
        <w:color w:val="FFFFFF" w:themeColor="background1"/>
      </w:rPr>
    </w:lvl>
    <w:lvl w:ilvl="1">
      <w:start w:val="1"/>
      <w:numFmt w:val="decimal"/>
      <w:pStyle w:val="a1"/>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EC6436"/>
    <w:multiLevelType w:val="hybridMultilevel"/>
    <w:tmpl w:val="704CA68A"/>
    <w:lvl w:ilvl="0" w:tplc="04190001">
      <w:start w:val="1"/>
      <w:numFmt w:val="bullet"/>
      <w:lvlText w:val=""/>
      <w:lvlJc w:val="left"/>
      <w:pPr>
        <w:ind w:left="785"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30" w15:restartNumberingAfterBreak="0">
    <w:nsid w:val="71662E2D"/>
    <w:multiLevelType w:val="hybridMultilevel"/>
    <w:tmpl w:val="6916D3BA"/>
    <w:lvl w:ilvl="0" w:tplc="0419000F">
      <w:start w:val="1"/>
      <w:numFmt w:val="decimal"/>
      <w:lvlText w:val="%1."/>
      <w:lvlJc w:val="left"/>
      <w:pPr>
        <w:ind w:left="106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53E11F2"/>
    <w:multiLevelType w:val="multilevel"/>
    <w:tmpl w:val="6510921A"/>
    <w:lvl w:ilvl="0">
      <w:start w:val="5"/>
      <w:numFmt w:val="decimal"/>
      <w:lvlText w:val="%1."/>
      <w:lvlJc w:val="left"/>
      <w:pPr>
        <w:ind w:left="360" w:hanging="360"/>
      </w:pPr>
    </w:lvl>
    <w:lvl w:ilvl="1">
      <w:start w:val="1"/>
      <w:numFmt w:val="decimal"/>
      <w:lvlText w:val="%1.%2."/>
      <w:lvlJc w:val="left"/>
      <w:pPr>
        <w:ind w:left="78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6975E14"/>
    <w:multiLevelType w:val="hybridMultilevel"/>
    <w:tmpl w:val="6FD6E902"/>
    <w:lvl w:ilvl="0" w:tplc="7D243C9A">
      <w:start w:val="1"/>
      <w:numFmt w:val="bullet"/>
      <w:pStyle w:val="a2"/>
      <w:lvlText w:val=""/>
      <w:lvlJc w:val="left"/>
      <w:pPr>
        <w:ind w:left="6314"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79C14527"/>
    <w:multiLevelType w:val="hybridMultilevel"/>
    <w:tmpl w:val="4E86DF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A795873"/>
    <w:multiLevelType w:val="hybridMultilevel"/>
    <w:tmpl w:val="DE469F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D20105A"/>
    <w:multiLevelType w:val="multilevel"/>
    <w:tmpl w:val="AF46C44C"/>
    <w:lvl w:ilvl="0">
      <w:start w:val="1"/>
      <w:numFmt w:val="decimal"/>
      <w:lvlText w:val="%1."/>
      <w:lvlJc w:val="left"/>
      <w:pPr>
        <w:ind w:left="768" w:hanging="408"/>
      </w:pPr>
      <w:rPr>
        <w:rFonts w:ascii="Times New Roman" w:eastAsia="Calibri" w:hAnsi="Times New Roman" w:cs="Times New Roman"/>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E6424E3"/>
    <w:multiLevelType w:val="hybridMultilevel"/>
    <w:tmpl w:val="BB067D4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FF5D83"/>
    <w:multiLevelType w:val="multilevel"/>
    <w:tmpl w:val="767E4E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8"/>
  </w:num>
  <w:num w:numId="2">
    <w:abstractNumId w:val="26"/>
  </w:num>
  <w:num w:numId="3">
    <w:abstractNumId w:val="8"/>
  </w:num>
  <w:num w:numId="4">
    <w:abstractNumId w:val="29"/>
  </w:num>
  <w:num w:numId="5">
    <w:abstractNumId w:val="22"/>
  </w:num>
  <w:num w:numId="6">
    <w:abstractNumId w:val="3"/>
  </w:num>
  <w:num w:numId="7">
    <w:abstractNumId w:val="13"/>
  </w:num>
  <w:num w:numId="8">
    <w:abstractNumId w:val="0"/>
  </w:num>
  <w:num w:numId="9">
    <w:abstractNumId w:val="28"/>
  </w:num>
  <w:num w:numId="10">
    <w:abstractNumId w:val="20"/>
  </w:num>
  <w:num w:numId="11">
    <w:abstractNumId w:val="27"/>
  </w:num>
  <w:num w:numId="12">
    <w:abstractNumId w:val="11"/>
  </w:num>
  <w:num w:numId="13">
    <w:abstractNumId w:val="14"/>
  </w:num>
  <w:num w:numId="14">
    <w:abstractNumId w:val="9"/>
  </w:num>
  <w:num w:numId="15">
    <w:abstractNumId w:val="17"/>
  </w:num>
  <w:num w:numId="16">
    <w:abstractNumId w:val="25"/>
  </w:num>
  <w:num w:numId="17">
    <w:abstractNumId w:val="4"/>
  </w:num>
  <w:num w:numId="18">
    <w:abstractNumId w:val="21"/>
  </w:num>
  <w:num w:numId="19">
    <w:abstractNumId w:val="15"/>
  </w:num>
  <w:num w:numId="20">
    <w:abstractNumId w:val="23"/>
  </w:num>
  <w:num w:numId="21">
    <w:abstractNumId w:val="10"/>
  </w:num>
  <w:num w:numId="22">
    <w:abstractNumId w:val="7"/>
  </w:num>
  <w:num w:numId="23">
    <w:abstractNumId w:val="35"/>
  </w:num>
  <w:num w:numId="24">
    <w:abstractNumId w:val="5"/>
  </w:num>
  <w:num w:numId="25">
    <w:abstractNumId w:val="34"/>
  </w:num>
  <w:num w:numId="26">
    <w:abstractNumId w:val="19"/>
  </w:num>
  <w:num w:numId="27">
    <w:abstractNumId w:val="6"/>
  </w:num>
  <w:num w:numId="28">
    <w:abstractNumId w:val="32"/>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37"/>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6"/>
  </w:num>
  <w:num w:numId="46">
    <w:abstractNumId w:val="24"/>
  </w:num>
  <w:num w:numId="47">
    <w:abstractNumId w:val="16"/>
  </w:num>
  <w:num w:numId="48">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282"/>
    <w:rsid w:val="0000035B"/>
    <w:rsid w:val="00001FF8"/>
    <w:rsid w:val="000048E0"/>
    <w:rsid w:val="00005D87"/>
    <w:rsid w:val="000064D7"/>
    <w:rsid w:val="00006B4A"/>
    <w:rsid w:val="000074A5"/>
    <w:rsid w:val="00010341"/>
    <w:rsid w:val="00010351"/>
    <w:rsid w:val="00013B13"/>
    <w:rsid w:val="00015160"/>
    <w:rsid w:val="00017218"/>
    <w:rsid w:val="00017690"/>
    <w:rsid w:val="00017937"/>
    <w:rsid w:val="00023789"/>
    <w:rsid w:val="00023C4E"/>
    <w:rsid w:val="0002429A"/>
    <w:rsid w:val="0002540C"/>
    <w:rsid w:val="000264EC"/>
    <w:rsid w:val="000276CA"/>
    <w:rsid w:val="00030BE0"/>
    <w:rsid w:val="00030ECC"/>
    <w:rsid w:val="0003231F"/>
    <w:rsid w:val="00032B42"/>
    <w:rsid w:val="00032EEC"/>
    <w:rsid w:val="00033893"/>
    <w:rsid w:val="00033ADF"/>
    <w:rsid w:val="00033F72"/>
    <w:rsid w:val="00034470"/>
    <w:rsid w:val="000354CD"/>
    <w:rsid w:val="000400A0"/>
    <w:rsid w:val="00040760"/>
    <w:rsid w:val="00041730"/>
    <w:rsid w:val="00043A9A"/>
    <w:rsid w:val="00043DD3"/>
    <w:rsid w:val="00044BD6"/>
    <w:rsid w:val="00046022"/>
    <w:rsid w:val="00050347"/>
    <w:rsid w:val="0005053F"/>
    <w:rsid w:val="00051D05"/>
    <w:rsid w:val="000521CD"/>
    <w:rsid w:val="00052BB9"/>
    <w:rsid w:val="00053416"/>
    <w:rsid w:val="00054374"/>
    <w:rsid w:val="00055734"/>
    <w:rsid w:val="00055BDD"/>
    <w:rsid w:val="00055FDA"/>
    <w:rsid w:val="00056C0E"/>
    <w:rsid w:val="00056C59"/>
    <w:rsid w:val="00061AB4"/>
    <w:rsid w:val="00062B98"/>
    <w:rsid w:val="00063BFF"/>
    <w:rsid w:val="00064C97"/>
    <w:rsid w:val="000663BA"/>
    <w:rsid w:val="00066C60"/>
    <w:rsid w:val="000714EF"/>
    <w:rsid w:val="00071814"/>
    <w:rsid w:val="00071E67"/>
    <w:rsid w:val="000727C0"/>
    <w:rsid w:val="00073567"/>
    <w:rsid w:val="00074819"/>
    <w:rsid w:val="00074A54"/>
    <w:rsid w:val="00074D1E"/>
    <w:rsid w:val="00075CC8"/>
    <w:rsid w:val="00081147"/>
    <w:rsid w:val="00081418"/>
    <w:rsid w:val="0008284A"/>
    <w:rsid w:val="00083121"/>
    <w:rsid w:val="00083621"/>
    <w:rsid w:val="00083EE4"/>
    <w:rsid w:val="00084178"/>
    <w:rsid w:val="000843D2"/>
    <w:rsid w:val="000848DB"/>
    <w:rsid w:val="00090007"/>
    <w:rsid w:val="0009260E"/>
    <w:rsid w:val="000926A9"/>
    <w:rsid w:val="00092BCE"/>
    <w:rsid w:val="00095A95"/>
    <w:rsid w:val="00096B0B"/>
    <w:rsid w:val="000977AC"/>
    <w:rsid w:val="00097B4A"/>
    <w:rsid w:val="00097DF3"/>
    <w:rsid w:val="000A0547"/>
    <w:rsid w:val="000A0776"/>
    <w:rsid w:val="000A0EA6"/>
    <w:rsid w:val="000A1A6C"/>
    <w:rsid w:val="000A3671"/>
    <w:rsid w:val="000A492C"/>
    <w:rsid w:val="000A5D5B"/>
    <w:rsid w:val="000A5F38"/>
    <w:rsid w:val="000B0B31"/>
    <w:rsid w:val="000B0E41"/>
    <w:rsid w:val="000B1246"/>
    <w:rsid w:val="000B1B07"/>
    <w:rsid w:val="000B2C93"/>
    <w:rsid w:val="000B6991"/>
    <w:rsid w:val="000B69F9"/>
    <w:rsid w:val="000B7871"/>
    <w:rsid w:val="000B7AE6"/>
    <w:rsid w:val="000C2205"/>
    <w:rsid w:val="000C32A0"/>
    <w:rsid w:val="000C3642"/>
    <w:rsid w:val="000C3BB1"/>
    <w:rsid w:val="000C4D19"/>
    <w:rsid w:val="000C4E11"/>
    <w:rsid w:val="000C5430"/>
    <w:rsid w:val="000C6C23"/>
    <w:rsid w:val="000C6C4D"/>
    <w:rsid w:val="000C7786"/>
    <w:rsid w:val="000C7A4F"/>
    <w:rsid w:val="000D4814"/>
    <w:rsid w:val="000D50C9"/>
    <w:rsid w:val="000D5130"/>
    <w:rsid w:val="000D5F91"/>
    <w:rsid w:val="000D617B"/>
    <w:rsid w:val="000D6333"/>
    <w:rsid w:val="000E00C0"/>
    <w:rsid w:val="000E058F"/>
    <w:rsid w:val="000E0A66"/>
    <w:rsid w:val="000E1027"/>
    <w:rsid w:val="000E270A"/>
    <w:rsid w:val="000E2D60"/>
    <w:rsid w:val="000E45C2"/>
    <w:rsid w:val="000E56E8"/>
    <w:rsid w:val="000F26F1"/>
    <w:rsid w:val="000F312D"/>
    <w:rsid w:val="000F3EBC"/>
    <w:rsid w:val="000F5892"/>
    <w:rsid w:val="000F675C"/>
    <w:rsid w:val="000F6849"/>
    <w:rsid w:val="000F7731"/>
    <w:rsid w:val="00101924"/>
    <w:rsid w:val="00104ADF"/>
    <w:rsid w:val="00105D9B"/>
    <w:rsid w:val="0011024F"/>
    <w:rsid w:val="00110AE3"/>
    <w:rsid w:val="00110F8A"/>
    <w:rsid w:val="00111B0F"/>
    <w:rsid w:val="00111E06"/>
    <w:rsid w:val="0011313E"/>
    <w:rsid w:val="00114720"/>
    <w:rsid w:val="00116F5D"/>
    <w:rsid w:val="00120F99"/>
    <w:rsid w:val="0012263C"/>
    <w:rsid w:val="00122836"/>
    <w:rsid w:val="00123C6B"/>
    <w:rsid w:val="00125DBA"/>
    <w:rsid w:val="00127B0D"/>
    <w:rsid w:val="0013016E"/>
    <w:rsid w:val="0013165E"/>
    <w:rsid w:val="00131BB0"/>
    <w:rsid w:val="00135D24"/>
    <w:rsid w:val="00135E1E"/>
    <w:rsid w:val="0013612F"/>
    <w:rsid w:val="00136C9D"/>
    <w:rsid w:val="00137321"/>
    <w:rsid w:val="00137459"/>
    <w:rsid w:val="00140D98"/>
    <w:rsid w:val="001418F4"/>
    <w:rsid w:val="00142307"/>
    <w:rsid w:val="00142314"/>
    <w:rsid w:val="00142E03"/>
    <w:rsid w:val="001436AE"/>
    <w:rsid w:val="001439DB"/>
    <w:rsid w:val="001440F6"/>
    <w:rsid w:val="0014628C"/>
    <w:rsid w:val="0014628E"/>
    <w:rsid w:val="00146651"/>
    <w:rsid w:val="00150018"/>
    <w:rsid w:val="001512CD"/>
    <w:rsid w:val="00151D52"/>
    <w:rsid w:val="00151DAC"/>
    <w:rsid w:val="00153864"/>
    <w:rsid w:val="0015499F"/>
    <w:rsid w:val="0015629D"/>
    <w:rsid w:val="001567DA"/>
    <w:rsid w:val="001568B8"/>
    <w:rsid w:val="00157270"/>
    <w:rsid w:val="0016046E"/>
    <w:rsid w:val="001604EB"/>
    <w:rsid w:val="001632DC"/>
    <w:rsid w:val="0016519B"/>
    <w:rsid w:val="0016546F"/>
    <w:rsid w:val="0016600A"/>
    <w:rsid w:val="00166270"/>
    <w:rsid w:val="001666C5"/>
    <w:rsid w:val="00166C00"/>
    <w:rsid w:val="00167390"/>
    <w:rsid w:val="001707E0"/>
    <w:rsid w:val="00172434"/>
    <w:rsid w:val="001744FB"/>
    <w:rsid w:val="0017499E"/>
    <w:rsid w:val="00174F07"/>
    <w:rsid w:val="00176AF2"/>
    <w:rsid w:val="00176DE3"/>
    <w:rsid w:val="00177A2C"/>
    <w:rsid w:val="00177F5E"/>
    <w:rsid w:val="00180342"/>
    <w:rsid w:val="00180B38"/>
    <w:rsid w:val="00180F46"/>
    <w:rsid w:val="00182DF7"/>
    <w:rsid w:val="00183909"/>
    <w:rsid w:val="0018397B"/>
    <w:rsid w:val="0018525A"/>
    <w:rsid w:val="00185CD4"/>
    <w:rsid w:val="00190171"/>
    <w:rsid w:val="00190665"/>
    <w:rsid w:val="00193D75"/>
    <w:rsid w:val="001948C6"/>
    <w:rsid w:val="001967F3"/>
    <w:rsid w:val="00197382"/>
    <w:rsid w:val="001A06A5"/>
    <w:rsid w:val="001A2685"/>
    <w:rsid w:val="001A31C0"/>
    <w:rsid w:val="001A4074"/>
    <w:rsid w:val="001A4C90"/>
    <w:rsid w:val="001A6D39"/>
    <w:rsid w:val="001A7818"/>
    <w:rsid w:val="001A7D8A"/>
    <w:rsid w:val="001B0ACA"/>
    <w:rsid w:val="001B0D4B"/>
    <w:rsid w:val="001B1FD4"/>
    <w:rsid w:val="001B2674"/>
    <w:rsid w:val="001B3087"/>
    <w:rsid w:val="001B3C4E"/>
    <w:rsid w:val="001B3D47"/>
    <w:rsid w:val="001B5005"/>
    <w:rsid w:val="001B59B4"/>
    <w:rsid w:val="001B5D7C"/>
    <w:rsid w:val="001B64F2"/>
    <w:rsid w:val="001B76F7"/>
    <w:rsid w:val="001B7C50"/>
    <w:rsid w:val="001C0828"/>
    <w:rsid w:val="001C0F85"/>
    <w:rsid w:val="001C1534"/>
    <w:rsid w:val="001C21A1"/>
    <w:rsid w:val="001C2451"/>
    <w:rsid w:val="001C2B7D"/>
    <w:rsid w:val="001C2BAE"/>
    <w:rsid w:val="001C3FE7"/>
    <w:rsid w:val="001C5011"/>
    <w:rsid w:val="001C57DA"/>
    <w:rsid w:val="001C6566"/>
    <w:rsid w:val="001D3A83"/>
    <w:rsid w:val="001D5164"/>
    <w:rsid w:val="001D585A"/>
    <w:rsid w:val="001D7C28"/>
    <w:rsid w:val="001E0AC3"/>
    <w:rsid w:val="001E117D"/>
    <w:rsid w:val="001E13A7"/>
    <w:rsid w:val="001E1A10"/>
    <w:rsid w:val="001E2425"/>
    <w:rsid w:val="001E26E5"/>
    <w:rsid w:val="001E2F4E"/>
    <w:rsid w:val="001E376B"/>
    <w:rsid w:val="001E47C7"/>
    <w:rsid w:val="001E5764"/>
    <w:rsid w:val="001E75BD"/>
    <w:rsid w:val="001E77A8"/>
    <w:rsid w:val="001F043F"/>
    <w:rsid w:val="001F0992"/>
    <w:rsid w:val="001F0D28"/>
    <w:rsid w:val="001F35AC"/>
    <w:rsid w:val="001F52E0"/>
    <w:rsid w:val="001F5ABF"/>
    <w:rsid w:val="001F6755"/>
    <w:rsid w:val="001F798D"/>
    <w:rsid w:val="00200976"/>
    <w:rsid w:val="0020223D"/>
    <w:rsid w:val="0020244C"/>
    <w:rsid w:val="00203597"/>
    <w:rsid w:val="002040D9"/>
    <w:rsid w:val="00204226"/>
    <w:rsid w:val="00204D22"/>
    <w:rsid w:val="00207827"/>
    <w:rsid w:val="00211CD4"/>
    <w:rsid w:val="00211EC9"/>
    <w:rsid w:val="002126EA"/>
    <w:rsid w:val="00213492"/>
    <w:rsid w:val="00217477"/>
    <w:rsid w:val="00217624"/>
    <w:rsid w:val="00217703"/>
    <w:rsid w:val="00217912"/>
    <w:rsid w:val="002201AD"/>
    <w:rsid w:val="00220CEC"/>
    <w:rsid w:val="00221B27"/>
    <w:rsid w:val="00222456"/>
    <w:rsid w:val="0022464B"/>
    <w:rsid w:val="00226916"/>
    <w:rsid w:val="0022699A"/>
    <w:rsid w:val="00230EF4"/>
    <w:rsid w:val="00231387"/>
    <w:rsid w:val="00232746"/>
    <w:rsid w:val="0023602C"/>
    <w:rsid w:val="002360F7"/>
    <w:rsid w:val="00236BAD"/>
    <w:rsid w:val="00236CED"/>
    <w:rsid w:val="002417B2"/>
    <w:rsid w:val="00241CBF"/>
    <w:rsid w:val="00242A29"/>
    <w:rsid w:val="00242C26"/>
    <w:rsid w:val="002451D8"/>
    <w:rsid w:val="00247471"/>
    <w:rsid w:val="002500AB"/>
    <w:rsid w:val="002506DD"/>
    <w:rsid w:val="002542AB"/>
    <w:rsid w:val="002543F5"/>
    <w:rsid w:val="00260669"/>
    <w:rsid w:val="0026178D"/>
    <w:rsid w:val="00262611"/>
    <w:rsid w:val="00263168"/>
    <w:rsid w:val="00263451"/>
    <w:rsid w:val="002636F7"/>
    <w:rsid w:val="0026720F"/>
    <w:rsid w:val="00267CC5"/>
    <w:rsid w:val="002702DA"/>
    <w:rsid w:val="00270861"/>
    <w:rsid w:val="0027171C"/>
    <w:rsid w:val="002752B1"/>
    <w:rsid w:val="0027588B"/>
    <w:rsid w:val="00277EEA"/>
    <w:rsid w:val="002802F8"/>
    <w:rsid w:val="002813A1"/>
    <w:rsid w:val="00285BF7"/>
    <w:rsid w:val="00285E63"/>
    <w:rsid w:val="0028663A"/>
    <w:rsid w:val="00287569"/>
    <w:rsid w:val="00287852"/>
    <w:rsid w:val="00287E37"/>
    <w:rsid w:val="00287F00"/>
    <w:rsid w:val="00291323"/>
    <w:rsid w:val="00291938"/>
    <w:rsid w:val="00294F19"/>
    <w:rsid w:val="002953F9"/>
    <w:rsid w:val="0029556E"/>
    <w:rsid w:val="00296822"/>
    <w:rsid w:val="00296FEF"/>
    <w:rsid w:val="00297DF7"/>
    <w:rsid w:val="002A021B"/>
    <w:rsid w:val="002A0CD5"/>
    <w:rsid w:val="002A1EEE"/>
    <w:rsid w:val="002A2B82"/>
    <w:rsid w:val="002A331D"/>
    <w:rsid w:val="002A37A0"/>
    <w:rsid w:val="002A3AC1"/>
    <w:rsid w:val="002A704C"/>
    <w:rsid w:val="002B06E6"/>
    <w:rsid w:val="002B0E8F"/>
    <w:rsid w:val="002B1203"/>
    <w:rsid w:val="002B358F"/>
    <w:rsid w:val="002B3C60"/>
    <w:rsid w:val="002B446F"/>
    <w:rsid w:val="002B470C"/>
    <w:rsid w:val="002B4F22"/>
    <w:rsid w:val="002B4F9E"/>
    <w:rsid w:val="002B6064"/>
    <w:rsid w:val="002B7001"/>
    <w:rsid w:val="002B7BC2"/>
    <w:rsid w:val="002B7D1F"/>
    <w:rsid w:val="002C02AB"/>
    <w:rsid w:val="002C1C85"/>
    <w:rsid w:val="002C2321"/>
    <w:rsid w:val="002C2A03"/>
    <w:rsid w:val="002C2B31"/>
    <w:rsid w:val="002C41C0"/>
    <w:rsid w:val="002C4628"/>
    <w:rsid w:val="002C781A"/>
    <w:rsid w:val="002D1A78"/>
    <w:rsid w:val="002D1F81"/>
    <w:rsid w:val="002D2D20"/>
    <w:rsid w:val="002D54C0"/>
    <w:rsid w:val="002D5F26"/>
    <w:rsid w:val="002D602D"/>
    <w:rsid w:val="002E2563"/>
    <w:rsid w:val="002E2B71"/>
    <w:rsid w:val="002E5E19"/>
    <w:rsid w:val="002E7818"/>
    <w:rsid w:val="002F1B74"/>
    <w:rsid w:val="002F21D8"/>
    <w:rsid w:val="002F4C60"/>
    <w:rsid w:val="002F7235"/>
    <w:rsid w:val="00301918"/>
    <w:rsid w:val="003021B2"/>
    <w:rsid w:val="00304DE6"/>
    <w:rsid w:val="003075A0"/>
    <w:rsid w:val="003107B5"/>
    <w:rsid w:val="003113F2"/>
    <w:rsid w:val="003127F4"/>
    <w:rsid w:val="00312E6B"/>
    <w:rsid w:val="00313129"/>
    <w:rsid w:val="00315AA3"/>
    <w:rsid w:val="0031618A"/>
    <w:rsid w:val="00316788"/>
    <w:rsid w:val="00317D61"/>
    <w:rsid w:val="00320520"/>
    <w:rsid w:val="00320711"/>
    <w:rsid w:val="00322399"/>
    <w:rsid w:val="003252B5"/>
    <w:rsid w:val="00326C5E"/>
    <w:rsid w:val="0032768F"/>
    <w:rsid w:val="003279A0"/>
    <w:rsid w:val="00327F68"/>
    <w:rsid w:val="0033024B"/>
    <w:rsid w:val="0033142B"/>
    <w:rsid w:val="0033389B"/>
    <w:rsid w:val="003338D9"/>
    <w:rsid w:val="00333E12"/>
    <w:rsid w:val="00334063"/>
    <w:rsid w:val="0033487F"/>
    <w:rsid w:val="003353C6"/>
    <w:rsid w:val="00337DBE"/>
    <w:rsid w:val="003406EA"/>
    <w:rsid w:val="00341370"/>
    <w:rsid w:val="00342210"/>
    <w:rsid w:val="0034354F"/>
    <w:rsid w:val="00343ACD"/>
    <w:rsid w:val="00343CE2"/>
    <w:rsid w:val="00343DA6"/>
    <w:rsid w:val="00344F13"/>
    <w:rsid w:val="0034772B"/>
    <w:rsid w:val="0034795F"/>
    <w:rsid w:val="00347D3A"/>
    <w:rsid w:val="003530F3"/>
    <w:rsid w:val="003539B4"/>
    <w:rsid w:val="003546E1"/>
    <w:rsid w:val="00357EF1"/>
    <w:rsid w:val="003609B8"/>
    <w:rsid w:val="00361DD0"/>
    <w:rsid w:val="00363749"/>
    <w:rsid w:val="0036427D"/>
    <w:rsid w:val="0036714A"/>
    <w:rsid w:val="003730E0"/>
    <w:rsid w:val="0037389E"/>
    <w:rsid w:val="00375035"/>
    <w:rsid w:val="00376820"/>
    <w:rsid w:val="0037684F"/>
    <w:rsid w:val="00376FA7"/>
    <w:rsid w:val="00381949"/>
    <w:rsid w:val="00382355"/>
    <w:rsid w:val="00382395"/>
    <w:rsid w:val="0038246B"/>
    <w:rsid w:val="003830AE"/>
    <w:rsid w:val="00385DBF"/>
    <w:rsid w:val="00386320"/>
    <w:rsid w:val="003868B7"/>
    <w:rsid w:val="0038780B"/>
    <w:rsid w:val="00390DB4"/>
    <w:rsid w:val="00391DC8"/>
    <w:rsid w:val="0039221C"/>
    <w:rsid w:val="00392A55"/>
    <w:rsid w:val="00393996"/>
    <w:rsid w:val="0039459E"/>
    <w:rsid w:val="00396B1A"/>
    <w:rsid w:val="003A0A18"/>
    <w:rsid w:val="003A2811"/>
    <w:rsid w:val="003A35B6"/>
    <w:rsid w:val="003A35F8"/>
    <w:rsid w:val="003A4701"/>
    <w:rsid w:val="003A60BF"/>
    <w:rsid w:val="003A6106"/>
    <w:rsid w:val="003A6C53"/>
    <w:rsid w:val="003A73A0"/>
    <w:rsid w:val="003B1082"/>
    <w:rsid w:val="003B369C"/>
    <w:rsid w:val="003B3E53"/>
    <w:rsid w:val="003B3EB9"/>
    <w:rsid w:val="003B47C8"/>
    <w:rsid w:val="003B56F7"/>
    <w:rsid w:val="003B6093"/>
    <w:rsid w:val="003C270B"/>
    <w:rsid w:val="003C3866"/>
    <w:rsid w:val="003C3BD8"/>
    <w:rsid w:val="003C5DDA"/>
    <w:rsid w:val="003C64C3"/>
    <w:rsid w:val="003C6824"/>
    <w:rsid w:val="003C6846"/>
    <w:rsid w:val="003C70FC"/>
    <w:rsid w:val="003D134B"/>
    <w:rsid w:val="003D2C4C"/>
    <w:rsid w:val="003D50D8"/>
    <w:rsid w:val="003D55F9"/>
    <w:rsid w:val="003D5A8E"/>
    <w:rsid w:val="003D64D4"/>
    <w:rsid w:val="003E1142"/>
    <w:rsid w:val="003E18ED"/>
    <w:rsid w:val="003E2CAE"/>
    <w:rsid w:val="003E39BE"/>
    <w:rsid w:val="003E60E5"/>
    <w:rsid w:val="003E6260"/>
    <w:rsid w:val="003E6B37"/>
    <w:rsid w:val="003F3810"/>
    <w:rsid w:val="003F63E9"/>
    <w:rsid w:val="004009F2"/>
    <w:rsid w:val="00400C3B"/>
    <w:rsid w:val="00401BC1"/>
    <w:rsid w:val="00402638"/>
    <w:rsid w:val="0040417C"/>
    <w:rsid w:val="00404E0B"/>
    <w:rsid w:val="00404EC3"/>
    <w:rsid w:val="00406989"/>
    <w:rsid w:val="004072BD"/>
    <w:rsid w:val="00407751"/>
    <w:rsid w:val="0041119D"/>
    <w:rsid w:val="004126B2"/>
    <w:rsid w:val="00414721"/>
    <w:rsid w:val="004156D6"/>
    <w:rsid w:val="004175F0"/>
    <w:rsid w:val="00420806"/>
    <w:rsid w:val="00420A21"/>
    <w:rsid w:val="004219B1"/>
    <w:rsid w:val="00422B64"/>
    <w:rsid w:val="00422CC1"/>
    <w:rsid w:val="0042312C"/>
    <w:rsid w:val="0042409D"/>
    <w:rsid w:val="004242B6"/>
    <w:rsid w:val="00424363"/>
    <w:rsid w:val="0042481A"/>
    <w:rsid w:val="00424DAC"/>
    <w:rsid w:val="0042767F"/>
    <w:rsid w:val="00431BAF"/>
    <w:rsid w:val="00432606"/>
    <w:rsid w:val="00432D61"/>
    <w:rsid w:val="00434858"/>
    <w:rsid w:val="004405A2"/>
    <w:rsid w:val="00443478"/>
    <w:rsid w:val="004439AC"/>
    <w:rsid w:val="0044441D"/>
    <w:rsid w:val="004470B3"/>
    <w:rsid w:val="004500B6"/>
    <w:rsid w:val="00450D61"/>
    <w:rsid w:val="004512A9"/>
    <w:rsid w:val="00451B1D"/>
    <w:rsid w:val="00451D0B"/>
    <w:rsid w:val="00453041"/>
    <w:rsid w:val="004549A8"/>
    <w:rsid w:val="00454BFE"/>
    <w:rsid w:val="0045505D"/>
    <w:rsid w:val="0045539C"/>
    <w:rsid w:val="00456629"/>
    <w:rsid w:val="004567F2"/>
    <w:rsid w:val="00460541"/>
    <w:rsid w:val="00460A56"/>
    <w:rsid w:val="00461309"/>
    <w:rsid w:val="0046166C"/>
    <w:rsid w:val="004621EC"/>
    <w:rsid w:val="00463D6F"/>
    <w:rsid w:val="00467207"/>
    <w:rsid w:val="004736C9"/>
    <w:rsid w:val="00475AC7"/>
    <w:rsid w:val="0047623A"/>
    <w:rsid w:val="00476FC3"/>
    <w:rsid w:val="00480FE6"/>
    <w:rsid w:val="004811BA"/>
    <w:rsid w:val="0048170D"/>
    <w:rsid w:val="00483C3E"/>
    <w:rsid w:val="00484282"/>
    <w:rsid w:val="004846B1"/>
    <w:rsid w:val="004853F6"/>
    <w:rsid w:val="004872F3"/>
    <w:rsid w:val="004900C9"/>
    <w:rsid w:val="00491646"/>
    <w:rsid w:val="00491D42"/>
    <w:rsid w:val="0049468A"/>
    <w:rsid w:val="00494B15"/>
    <w:rsid w:val="004962BE"/>
    <w:rsid w:val="004971C9"/>
    <w:rsid w:val="00497E47"/>
    <w:rsid w:val="004A034C"/>
    <w:rsid w:val="004A0C28"/>
    <w:rsid w:val="004A1B9A"/>
    <w:rsid w:val="004A3A22"/>
    <w:rsid w:val="004A3DF8"/>
    <w:rsid w:val="004A5053"/>
    <w:rsid w:val="004A6BBE"/>
    <w:rsid w:val="004A6E36"/>
    <w:rsid w:val="004A7C54"/>
    <w:rsid w:val="004A7E31"/>
    <w:rsid w:val="004B0CF7"/>
    <w:rsid w:val="004B2369"/>
    <w:rsid w:val="004B2768"/>
    <w:rsid w:val="004B4919"/>
    <w:rsid w:val="004B69F0"/>
    <w:rsid w:val="004C0572"/>
    <w:rsid w:val="004C0A43"/>
    <w:rsid w:val="004C1A50"/>
    <w:rsid w:val="004C42F5"/>
    <w:rsid w:val="004C4973"/>
    <w:rsid w:val="004C6C12"/>
    <w:rsid w:val="004C73A3"/>
    <w:rsid w:val="004C7DD4"/>
    <w:rsid w:val="004D1576"/>
    <w:rsid w:val="004D1B6A"/>
    <w:rsid w:val="004D2083"/>
    <w:rsid w:val="004D213F"/>
    <w:rsid w:val="004D21D4"/>
    <w:rsid w:val="004D21E2"/>
    <w:rsid w:val="004D26AD"/>
    <w:rsid w:val="004D2C2F"/>
    <w:rsid w:val="004D6268"/>
    <w:rsid w:val="004D6B6B"/>
    <w:rsid w:val="004D774B"/>
    <w:rsid w:val="004E117C"/>
    <w:rsid w:val="004E124E"/>
    <w:rsid w:val="004E2438"/>
    <w:rsid w:val="004E30B5"/>
    <w:rsid w:val="004E3191"/>
    <w:rsid w:val="004E45B5"/>
    <w:rsid w:val="004E6328"/>
    <w:rsid w:val="004E6C9F"/>
    <w:rsid w:val="004E7A4E"/>
    <w:rsid w:val="004E7C84"/>
    <w:rsid w:val="004F169B"/>
    <w:rsid w:val="004F1986"/>
    <w:rsid w:val="004F2EFF"/>
    <w:rsid w:val="004F4438"/>
    <w:rsid w:val="004F58AE"/>
    <w:rsid w:val="004F5D5D"/>
    <w:rsid w:val="004F72A2"/>
    <w:rsid w:val="00500A8E"/>
    <w:rsid w:val="00500CE8"/>
    <w:rsid w:val="00501123"/>
    <w:rsid w:val="005011DB"/>
    <w:rsid w:val="00506D62"/>
    <w:rsid w:val="0051080E"/>
    <w:rsid w:val="00510CC1"/>
    <w:rsid w:val="00511FFC"/>
    <w:rsid w:val="00513389"/>
    <w:rsid w:val="00513981"/>
    <w:rsid w:val="00513C08"/>
    <w:rsid w:val="00514F17"/>
    <w:rsid w:val="005152F3"/>
    <w:rsid w:val="00515B50"/>
    <w:rsid w:val="00516754"/>
    <w:rsid w:val="00516AA2"/>
    <w:rsid w:val="00520FDC"/>
    <w:rsid w:val="00522906"/>
    <w:rsid w:val="0052348A"/>
    <w:rsid w:val="005234E2"/>
    <w:rsid w:val="00523E57"/>
    <w:rsid w:val="0052413E"/>
    <w:rsid w:val="00524AFE"/>
    <w:rsid w:val="005260E2"/>
    <w:rsid w:val="00526769"/>
    <w:rsid w:val="00530DDC"/>
    <w:rsid w:val="005318EC"/>
    <w:rsid w:val="00531A7B"/>
    <w:rsid w:val="00532BF0"/>
    <w:rsid w:val="00533042"/>
    <w:rsid w:val="00534572"/>
    <w:rsid w:val="00535D06"/>
    <w:rsid w:val="00537221"/>
    <w:rsid w:val="00537AB0"/>
    <w:rsid w:val="00540B49"/>
    <w:rsid w:val="00540FCA"/>
    <w:rsid w:val="005423A6"/>
    <w:rsid w:val="00542EFF"/>
    <w:rsid w:val="0054389B"/>
    <w:rsid w:val="005441DC"/>
    <w:rsid w:val="00544A99"/>
    <w:rsid w:val="0054520A"/>
    <w:rsid w:val="005467FA"/>
    <w:rsid w:val="00547F91"/>
    <w:rsid w:val="0055074B"/>
    <w:rsid w:val="00551C34"/>
    <w:rsid w:val="00551E6E"/>
    <w:rsid w:val="005523DE"/>
    <w:rsid w:val="00552908"/>
    <w:rsid w:val="0055357F"/>
    <w:rsid w:val="00553946"/>
    <w:rsid w:val="00554127"/>
    <w:rsid w:val="00554BE7"/>
    <w:rsid w:val="005550F4"/>
    <w:rsid w:val="00555137"/>
    <w:rsid w:val="00557503"/>
    <w:rsid w:val="0056065E"/>
    <w:rsid w:val="00560B3F"/>
    <w:rsid w:val="00560C51"/>
    <w:rsid w:val="005634F7"/>
    <w:rsid w:val="00563C1B"/>
    <w:rsid w:val="00564182"/>
    <w:rsid w:val="00565397"/>
    <w:rsid w:val="0056579C"/>
    <w:rsid w:val="00565927"/>
    <w:rsid w:val="00566BCA"/>
    <w:rsid w:val="0056746E"/>
    <w:rsid w:val="00571A83"/>
    <w:rsid w:val="00572145"/>
    <w:rsid w:val="0057227A"/>
    <w:rsid w:val="00573529"/>
    <w:rsid w:val="005744AC"/>
    <w:rsid w:val="00574BC8"/>
    <w:rsid w:val="00576290"/>
    <w:rsid w:val="00576DF7"/>
    <w:rsid w:val="00577438"/>
    <w:rsid w:val="005776D4"/>
    <w:rsid w:val="00577858"/>
    <w:rsid w:val="00577C5E"/>
    <w:rsid w:val="0058077E"/>
    <w:rsid w:val="00580DCE"/>
    <w:rsid w:val="005827CD"/>
    <w:rsid w:val="00585C5E"/>
    <w:rsid w:val="00586901"/>
    <w:rsid w:val="005877F2"/>
    <w:rsid w:val="00590BDB"/>
    <w:rsid w:val="00592779"/>
    <w:rsid w:val="00593889"/>
    <w:rsid w:val="0059513B"/>
    <w:rsid w:val="005973ED"/>
    <w:rsid w:val="005974E1"/>
    <w:rsid w:val="0059768E"/>
    <w:rsid w:val="00597B10"/>
    <w:rsid w:val="005A1975"/>
    <w:rsid w:val="005A38F0"/>
    <w:rsid w:val="005A39C7"/>
    <w:rsid w:val="005A3F82"/>
    <w:rsid w:val="005A42A3"/>
    <w:rsid w:val="005A57C0"/>
    <w:rsid w:val="005A5CF2"/>
    <w:rsid w:val="005A5F32"/>
    <w:rsid w:val="005A6020"/>
    <w:rsid w:val="005A625F"/>
    <w:rsid w:val="005B1422"/>
    <w:rsid w:val="005B1DFA"/>
    <w:rsid w:val="005B23FB"/>
    <w:rsid w:val="005B27BC"/>
    <w:rsid w:val="005B4ACF"/>
    <w:rsid w:val="005B5959"/>
    <w:rsid w:val="005B6D41"/>
    <w:rsid w:val="005B7ACA"/>
    <w:rsid w:val="005C29F7"/>
    <w:rsid w:val="005C2F1B"/>
    <w:rsid w:val="005C3A09"/>
    <w:rsid w:val="005C3E39"/>
    <w:rsid w:val="005C441B"/>
    <w:rsid w:val="005C554F"/>
    <w:rsid w:val="005C57D3"/>
    <w:rsid w:val="005C5905"/>
    <w:rsid w:val="005C6721"/>
    <w:rsid w:val="005C7569"/>
    <w:rsid w:val="005D0CC5"/>
    <w:rsid w:val="005D13CE"/>
    <w:rsid w:val="005D27E1"/>
    <w:rsid w:val="005D51F3"/>
    <w:rsid w:val="005D5BD9"/>
    <w:rsid w:val="005D6F5B"/>
    <w:rsid w:val="005E0259"/>
    <w:rsid w:val="005E10BC"/>
    <w:rsid w:val="005E124E"/>
    <w:rsid w:val="005E1E23"/>
    <w:rsid w:val="005E2C18"/>
    <w:rsid w:val="005E53A6"/>
    <w:rsid w:val="005E7C8E"/>
    <w:rsid w:val="005F0CB7"/>
    <w:rsid w:val="005F12F3"/>
    <w:rsid w:val="005F18FB"/>
    <w:rsid w:val="005F2AC8"/>
    <w:rsid w:val="005F33F6"/>
    <w:rsid w:val="005F4E75"/>
    <w:rsid w:val="005F5954"/>
    <w:rsid w:val="005F7DC2"/>
    <w:rsid w:val="00600ABA"/>
    <w:rsid w:val="00603AB0"/>
    <w:rsid w:val="00604302"/>
    <w:rsid w:val="006044CB"/>
    <w:rsid w:val="00604ABF"/>
    <w:rsid w:val="0060535E"/>
    <w:rsid w:val="00605561"/>
    <w:rsid w:val="00605ED3"/>
    <w:rsid w:val="006065D2"/>
    <w:rsid w:val="006073AB"/>
    <w:rsid w:val="00607B30"/>
    <w:rsid w:val="00607D65"/>
    <w:rsid w:val="0061623E"/>
    <w:rsid w:val="00616812"/>
    <w:rsid w:val="006170F2"/>
    <w:rsid w:val="00617814"/>
    <w:rsid w:val="00617E75"/>
    <w:rsid w:val="00620D35"/>
    <w:rsid w:val="00622214"/>
    <w:rsid w:val="00623AF9"/>
    <w:rsid w:val="00625D75"/>
    <w:rsid w:val="00626B72"/>
    <w:rsid w:val="00632AAF"/>
    <w:rsid w:val="0063438F"/>
    <w:rsid w:val="00634A93"/>
    <w:rsid w:val="00635351"/>
    <w:rsid w:val="00635D34"/>
    <w:rsid w:val="00635E2F"/>
    <w:rsid w:val="00636AB2"/>
    <w:rsid w:val="00637559"/>
    <w:rsid w:val="0063792A"/>
    <w:rsid w:val="0064259A"/>
    <w:rsid w:val="006442E7"/>
    <w:rsid w:val="00644427"/>
    <w:rsid w:val="006448B1"/>
    <w:rsid w:val="00644B1F"/>
    <w:rsid w:val="00650826"/>
    <w:rsid w:val="00652970"/>
    <w:rsid w:val="00653F3B"/>
    <w:rsid w:val="006549A2"/>
    <w:rsid w:val="00655CB0"/>
    <w:rsid w:val="00660FE9"/>
    <w:rsid w:val="00664910"/>
    <w:rsid w:val="00664B66"/>
    <w:rsid w:val="00664CCC"/>
    <w:rsid w:val="006662EE"/>
    <w:rsid w:val="006663C5"/>
    <w:rsid w:val="006670DF"/>
    <w:rsid w:val="00670546"/>
    <w:rsid w:val="006707EB"/>
    <w:rsid w:val="00673225"/>
    <w:rsid w:val="0067470F"/>
    <w:rsid w:val="006749DA"/>
    <w:rsid w:val="0068119F"/>
    <w:rsid w:val="006827D3"/>
    <w:rsid w:val="00683B05"/>
    <w:rsid w:val="00684E23"/>
    <w:rsid w:val="0068578F"/>
    <w:rsid w:val="0068662B"/>
    <w:rsid w:val="00690080"/>
    <w:rsid w:val="00690123"/>
    <w:rsid w:val="00691173"/>
    <w:rsid w:val="006922BC"/>
    <w:rsid w:val="00692396"/>
    <w:rsid w:val="00697590"/>
    <w:rsid w:val="006A0A1C"/>
    <w:rsid w:val="006A0B39"/>
    <w:rsid w:val="006A1F7C"/>
    <w:rsid w:val="006A2887"/>
    <w:rsid w:val="006A3D75"/>
    <w:rsid w:val="006A446F"/>
    <w:rsid w:val="006A5096"/>
    <w:rsid w:val="006A56F0"/>
    <w:rsid w:val="006A6805"/>
    <w:rsid w:val="006A7ED8"/>
    <w:rsid w:val="006B32DD"/>
    <w:rsid w:val="006B4501"/>
    <w:rsid w:val="006B514C"/>
    <w:rsid w:val="006B6937"/>
    <w:rsid w:val="006B6AFB"/>
    <w:rsid w:val="006B7549"/>
    <w:rsid w:val="006C0691"/>
    <w:rsid w:val="006C177A"/>
    <w:rsid w:val="006C21EA"/>
    <w:rsid w:val="006C28DC"/>
    <w:rsid w:val="006C3A3E"/>
    <w:rsid w:val="006C6106"/>
    <w:rsid w:val="006C668A"/>
    <w:rsid w:val="006C7A27"/>
    <w:rsid w:val="006C7A4D"/>
    <w:rsid w:val="006C7FE4"/>
    <w:rsid w:val="006D1AB8"/>
    <w:rsid w:val="006D1CAE"/>
    <w:rsid w:val="006D2C5E"/>
    <w:rsid w:val="006D5753"/>
    <w:rsid w:val="006D589C"/>
    <w:rsid w:val="006D6573"/>
    <w:rsid w:val="006D7089"/>
    <w:rsid w:val="006E07D0"/>
    <w:rsid w:val="006E0FF4"/>
    <w:rsid w:val="006E1A11"/>
    <w:rsid w:val="006E2923"/>
    <w:rsid w:val="006E3A83"/>
    <w:rsid w:val="006E4C8B"/>
    <w:rsid w:val="006E51D8"/>
    <w:rsid w:val="006F01E8"/>
    <w:rsid w:val="006F4A93"/>
    <w:rsid w:val="006F6BD1"/>
    <w:rsid w:val="00701426"/>
    <w:rsid w:val="007016C0"/>
    <w:rsid w:val="00703307"/>
    <w:rsid w:val="00704466"/>
    <w:rsid w:val="0070492F"/>
    <w:rsid w:val="00705CEC"/>
    <w:rsid w:val="00710B97"/>
    <w:rsid w:val="00713DB6"/>
    <w:rsid w:val="0071542C"/>
    <w:rsid w:val="00715C3B"/>
    <w:rsid w:val="00716B09"/>
    <w:rsid w:val="00716DF8"/>
    <w:rsid w:val="0072104B"/>
    <w:rsid w:val="00721C39"/>
    <w:rsid w:val="007222E4"/>
    <w:rsid w:val="007228B5"/>
    <w:rsid w:val="00723426"/>
    <w:rsid w:val="0072342E"/>
    <w:rsid w:val="00724964"/>
    <w:rsid w:val="007250C5"/>
    <w:rsid w:val="007270C4"/>
    <w:rsid w:val="00730812"/>
    <w:rsid w:val="00732D63"/>
    <w:rsid w:val="00733EF2"/>
    <w:rsid w:val="0073420D"/>
    <w:rsid w:val="00740AD6"/>
    <w:rsid w:val="00740B53"/>
    <w:rsid w:val="00742272"/>
    <w:rsid w:val="0074323D"/>
    <w:rsid w:val="007439FF"/>
    <w:rsid w:val="00745D2B"/>
    <w:rsid w:val="0074618C"/>
    <w:rsid w:val="00746712"/>
    <w:rsid w:val="00747773"/>
    <w:rsid w:val="00750218"/>
    <w:rsid w:val="0075049C"/>
    <w:rsid w:val="00754466"/>
    <w:rsid w:val="007559B4"/>
    <w:rsid w:val="00755FDB"/>
    <w:rsid w:val="00761A82"/>
    <w:rsid w:val="00761FA8"/>
    <w:rsid w:val="0076275F"/>
    <w:rsid w:val="00764F33"/>
    <w:rsid w:val="007653B9"/>
    <w:rsid w:val="0076626C"/>
    <w:rsid w:val="00766CE2"/>
    <w:rsid w:val="00767421"/>
    <w:rsid w:val="007726F3"/>
    <w:rsid w:val="00772793"/>
    <w:rsid w:val="00772C5C"/>
    <w:rsid w:val="007766BB"/>
    <w:rsid w:val="00780947"/>
    <w:rsid w:val="00781DD6"/>
    <w:rsid w:val="00781EE9"/>
    <w:rsid w:val="00782E4D"/>
    <w:rsid w:val="00786007"/>
    <w:rsid w:val="007860B4"/>
    <w:rsid w:val="00793AC5"/>
    <w:rsid w:val="00794164"/>
    <w:rsid w:val="00795D48"/>
    <w:rsid w:val="007A3DE0"/>
    <w:rsid w:val="007A5572"/>
    <w:rsid w:val="007A5F56"/>
    <w:rsid w:val="007A5F84"/>
    <w:rsid w:val="007A6AC7"/>
    <w:rsid w:val="007B04B1"/>
    <w:rsid w:val="007B0999"/>
    <w:rsid w:val="007B25F8"/>
    <w:rsid w:val="007B7481"/>
    <w:rsid w:val="007C0B50"/>
    <w:rsid w:val="007C0C4E"/>
    <w:rsid w:val="007C173E"/>
    <w:rsid w:val="007C4603"/>
    <w:rsid w:val="007C4FD7"/>
    <w:rsid w:val="007C5A59"/>
    <w:rsid w:val="007C69EC"/>
    <w:rsid w:val="007D030F"/>
    <w:rsid w:val="007D0736"/>
    <w:rsid w:val="007D30C2"/>
    <w:rsid w:val="007D311E"/>
    <w:rsid w:val="007D3688"/>
    <w:rsid w:val="007D7251"/>
    <w:rsid w:val="007E136A"/>
    <w:rsid w:val="007E1EF6"/>
    <w:rsid w:val="007E36B0"/>
    <w:rsid w:val="007E4F34"/>
    <w:rsid w:val="007E545B"/>
    <w:rsid w:val="007E6807"/>
    <w:rsid w:val="007E68D9"/>
    <w:rsid w:val="007E7721"/>
    <w:rsid w:val="007F000A"/>
    <w:rsid w:val="007F04B9"/>
    <w:rsid w:val="007F1DF0"/>
    <w:rsid w:val="007F38DF"/>
    <w:rsid w:val="007F610B"/>
    <w:rsid w:val="00800175"/>
    <w:rsid w:val="0080042A"/>
    <w:rsid w:val="00800856"/>
    <w:rsid w:val="00800868"/>
    <w:rsid w:val="00801923"/>
    <w:rsid w:val="008045DD"/>
    <w:rsid w:val="00804F18"/>
    <w:rsid w:val="0080550F"/>
    <w:rsid w:val="00806274"/>
    <w:rsid w:val="008068EC"/>
    <w:rsid w:val="00811641"/>
    <w:rsid w:val="008169F7"/>
    <w:rsid w:val="00820CB7"/>
    <w:rsid w:val="00822AF1"/>
    <w:rsid w:val="00824429"/>
    <w:rsid w:val="008272DA"/>
    <w:rsid w:val="0082760A"/>
    <w:rsid w:val="008278C1"/>
    <w:rsid w:val="00827CB3"/>
    <w:rsid w:val="0083138F"/>
    <w:rsid w:val="008331F0"/>
    <w:rsid w:val="0083360D"/>
    <w:rsid w:val="008340B9"/>
    <w:rsid w:val="00834BCC"/>
    <w:rsid w:val="00835AF0"/>
    <w:rsid w:val="0083701C"/>
    <w:rsid w:val="0083727A"/>
    <w:rsid w:val="00837982"/>
    <w:rsid w:val="00837BDF"/>
    <w:rsid w:val="0084076D"/>
    <w:rsid w:val="0084118F"/>
    <w:rsid w:val="008434DB"/>
    <w:rsid w:val="00850462"/>
    <w:rsid w:val="008531BD"/>
    <w:rsid w:val="00853F09"/>
    <w:rsid w:val="00855B74"/>
    <w:rsid w:val="00856924"/>
    <w:rsid w:val="00857B5D"/>
    <w:rsid w:val="00860002"/>
    <w:rsid w:val="00861165"/>
    <w:rsid w:val="00862493"/>
    <w:rsid w:val="00862613"/>
    <w:rsid w:val="00865051"/>
    <w:rsid w:val="00865858"/>
    <w:rsid w:val="0086674A"/>
    <w:rsid w:val="008674AF"/>
    <w:rsid w:val="00867899"/>
    <w:rsid w:val="00867EE7"/>
    <w:rsid w:val="008705DE"/>
    <w:rsid w:val="00872559"/>
    <w:rsid w:val="00873951"/>
    <w:rsid w:val="008812DA"/>
    <w:rsid w:val="008813DB"/>
    <w:rsid w:val="00881924"/>
    <w:rsid w:val="00881C70"/>
    <w:rsid w:val="008835A9"/>
    <w:rsid w:val="008835D2"/>
    <w:rsid w:val="00885EE7"/>
    <w:rsid w:val="00886410"/>
    <w:rsid w:val="00887290"/>
    <w:rsid w:val="00887662"/>
    <w:rsid w:val="008906F5"/>
    <w:rsid w:val="0089112B"/>
    <w:rsid w:val="00891E3D"/>
    <w:rsid w:val="00891F99"/>
    <w:rsid w:val="0089311A"/>
    <w:rsid w:val="00893698"/>
    <w:rsid w:val="0089494F"/>
    <w:rsid w:val="00894CA5"/>
    <w:rsid w:val="0089570C"/>
    <w:rsid w:val="00896324"/>
    <w:rsid w:val="008972FC"/>
    <w:rsid w:val="008A09A2"/>
    <w:rsid w:val="008A1E74"/>
    <w:rsid w:val="008A357D"/>
    <w:rsid w:val="008A3E09"/>
    <w:rsid w:val="008A60F7"/>
    <w:rsid w:val="008A6D7D"/>
    <w:rsid w:val="008A79CC"/>
    <w:rsid w:val="008A7A8D"/>
    <w:rsid w:val="008B37A7"/>
    <w:rsid w:val="008B43F7"/>
    <w:rsid w:val="008B5B54"/>
    <w:rsid w:val="008B5B87"/>
    <w:rsid w:val="008B6168"/>
    <w:rsid w:val="008B6AEF"/>
    <w:rsid w:val="008B73AF"/>
    <w:rsid w:val="008C0459"/>
    <w:rsid w:val="008C0A68"/>
    <w:rsid w:val="008C0C74"/>
    <w:rsid w:val="008C19B5"/>
    <w:rsid w:val="008C288B"/>
    <w:rsid w:val="008C39F7"/>
    <w:rsid w:val="008C4398"/>
    <w:rsid w:val="008C4728"/>
    <w:rsid w:val="008D071D"/>
    <w:rsid w:val="008D13D8"/>
    <w:rsid w:val="008D2063"/>
    <w:rsid w:val="008D26A4"/>
    <w:rsid w:val="008D2A32"/>
    <w:rsid w:val="008D3527"/>
    <w:rsid w:val="008D4F10"/>
    <w:rsid w:val="008D6EFD"/>
    <w:rsid w:val="008D7077"/>
    <w:rsid w:val="008E1ACE"/>
    <w:rsid w:val="008E1CA2"/>
    <w:rsid w:val="008E2377"/>
    <w:rsid w:val="008E34F5"/>
    <w:rsid w:val="008E6EB2"/>
    <w:rsid w:val="008E709B"/>
    <w:rsid w:val="008E7232"/>
    <w:rsid w:val="008E7941"/>
    <w:rsid w:val="008F0C8D"/>
    <w:rsid w:val="008F25A9"/>
    <w:rsid w:val="008F3278"/>
    <w:rsid w:val="008F4A3C"/>
    <w:rsid w:val="008F4B61"/>
    <w:rsid w:val="008F7168"/>
    <w:rsid w:val="008F7813"/>
    <w:rsid w:val="0090015B"/>
    <w:rsid w:val="009008A3"/>
    <w:rsid w:val="00901070"/>
    <w:rsid w:val="009013C1"/>
    <w:rsid w:val="009015E5"/>
    <w:rsid w:val="00903A05"/>
    <w:rsid w:val="00904B62"/>
    <w:rsid w:val="00904F42"/>
    <w:rsid w:val="00906197"/>
    <w:rsid w:val="00906E53"/>
    <w:rsid w:val="009072B9"/>
    <w:rsid w:val="0091184E"/>
    <w:rsid w:val="00911F6A"/>
    <w:rsid w:val="00913107"/>
    <w:rsid w:val="009160D6"/>
    <w:rsid w:val="00916328"/>
    <w:rsid w:val="00917256"/>
    <w:rsid w:val="00917D36"/>
    <w:rsid w:val="00920FEC"/>
    <w:rsid w:val="00922871"/>
    <w:rsid w:val="00923742"/>
    <w:rsid w:val="00923F0B"/>
    <w:rsid w:val="009253FB"/>
    <w:rsid w:val="009254A7"/>
    <w:rsid w:val="0093011E"/>
    <w:rsid w:val="00932EC5"/>
    <w:rsid w:val="00934212"/>
    <w:rsid w:val="00936613"/>
    <w:rsid w:val="00940277"/>
    <w:rsid w:val="00940B75"/>
    <w:rsid w:val="00942652"/>
    <w:rsid w:val="00945408"/>
    <w:rsid w:val="0094598B"/>
    <w:rsid w:val="00945FDF"/>
    <w:rsid w:val="00946B5D"/>
    <w:rsid w:val="00947732"/>
    <w:rsid w:val="00950497"/>
    <w:rsid w:val="009505F1"/>
    <w:rsid w:val="00950C99"/>
    <w:rsid w:val="00950E2A"/>
    <w:rsid w:val="00952513"/>
    <w:rsid w:val="00952949"/>
    <w:rsid w:val="00952AC8"/>
    <w:rsid w:val="00953C10"/>
    <w:rsid w:val="00953EF2"/>
    <w:rsid w:val="00954196"/>
    <w:rsid w:val="0095520B"/>
    <w:rsid w:val="00955D3C"/>
    <w:rsid w:val="00955E00"/>
    <w:rsid w:val="00955E54"/>
    <w:rsid w:val="009563C8"/>
    <w:rsid w:val="00957EAB"/>
    <w:rsid w:val="009614D9"/>
    <w:rsid w:val="00962514"/>
    <w:rsid w:val="0096287A"/>
    <w:rsid w:val="00963512"/>
    <w:rsid w:val="0096366F"/>
    <w:rsid w:val="00966C47"/>
    <w:rsid w:val="00967466"/>
    <w:rsid w:val="009709E7"/>
    <w:rsid w:val="009732EC"/>
    <w:rsid w:val="00973A15"/>
    <w:rsid w:val="0097426C"/>
    <w:rsid w:val="00974803"/>
    <w:rsid w:val="00976BC2"/>
    <w:rsid w:val="00977BF4"/>
    <w:rsid w:val="00980F6F"/>
    <w:rsid w:val="009843D1"/>
    <w:rsid w:val="00984850"/>
    <w:rsid w:val="009856A4"/>
    <w:rsid w:val="00985ABC"/>
    <w:rsid w:val="009875C3"/>
    <w:rsid w:val="00990A36"/>
    <w:rsid w:val="00992268"/>
    <w:rsid w:val="00992280"/>
    <w:rsid w:val="009926AA"/>
    <w:rsid w:val="009926E6"/>
    <w:rsid w:val="00992762"/>
    <w:rsid w:val="00992C44"/>
    <w:rsid w:val="00992EBA"/>
    <w:rsid w:val="009965CD"/>
    <w:rsid w:val="00997080"/>
    <w:rsid w:val="009A05B8"/>
    <w:rsid w:val="009A331B"/>
    <w:rsid w:val="009A3C4D"/>
    <w:rsid w:val="009A443F"/>
    <w:rsid w:val="009A4736"/>
    <w:rsid w:val="009A48DC"/>
    <w:rsid w:val="009A7343"/>
    <w:rsid w:val="009B000D"/>
    <w:rsid w:val="009B12A3"/>
    <w:rsid w:val="009B37C5"/>
    <w:rsid w:val="009B53E1"/>
    <w:rsid w:val="009B5765"/>
    <w:rsid w:val="009B644A"/>
    <w:rsid w:val="009C0D46"/>
    <w:rsid w:val="009C2487"/>
    <w:rsid w:val="009C4A83"/>
    <w:rsid w:val="009C52A7"/>
    <w:rsid w:val="009C681C"/>
    <w:rsid w:val="009C7BDD"/>
    <w:rsid w:val="009D0791"/>
    <w:rsid w:val="009D0B2A"/>
    <w:rsid w:val="009D16D9"/>
    <w:rsid w:val="009D1C36"/>
    <w:rsid w:val="009D3075"/>
    <w:rsid w:val="009E0409"/>
    <w:rsid w:val="009E1AD3"/>
    <w:rsid w:val="009E392C"/>
    <w:rsid w:val="009E5345"/>
    <w:rsid w:val="009E59DD"/>
    <w:rsid w:val="009E5BC7"/>
    <w:rsid w:val="009E60BE"/>
    <w:rsid w:val="009E6B40"/>
    <w:rsid w:val="009E7111"/>
    <w:rsid w:val="009F0476"/>
    <w:rsid w:val="009F144D"/>
    <w:rsid w:val="009F2815"/>
    <w:rsid w:val="009F2F72"/>
    <w:rsid w:val="009F324D"/>
    <w:rsid w:val="009F35A8"/>
    <w:rsid w:val="009F3E47"/>
    <w:rsid w:val="009F48CB"/>
    <w:rsid w:val="009F4B13"/>
    <w:rsid w:val="009F4F97"/>
    <w:rsid w:val="009F5BCD"/>
    <w:rsid w:val="009F6658"/>
    <w:rsid w:val="009F7758"/>
    <w:rsid w:val="009F7AE8"/>
    <w:rsid w:val="00A014DE"/>
    <w:rsid w:val="00A016D1"/>
    <w:rsid w:val="00A018A8"/>
    <w:rsid w:val="00A019CD"/>
    <w:rsid w:val="00A01F8F"/>
    <w:rsid w:val="00A027A3"/>
    <w:rsid w:val="00A03222"/>
    <w:rsid w:val="00A051B7"/>
    <w:rsid w:val="00A05B89"/>
    <w:rsid w:val="00A06D30"/>
    <w:rsid w:val="00A12D3C"/>
    <w:rsid w:val="00A13AF4"/>
    <w:rsid w:val="00A13C28"/>
    <w:rsid w:val="00A1447F"/>
    <w:rsid w:val="00A14E48"/>
    <w:rsid w:val="00A14F0D"/>
    <w:rsid w:val="00A154C5"/>
    <w:rsid w:val="00A1583A"/>
    <w:rsid w:val="00A16656"/>
    <w:rsid w:val="00A16BBF"/>
    <w:rsid w:val="00A21AD3"/>
    <w:rsid w:val="00A21BF9"/>
    <w:rsid w:val="00A24718"/>
    <w:rsid w:val="00A25204"/>
    <w:rsid w:val="00A25952"/>
    <w:rsid w:val="00A25DA0"/>
    <w:rsid w:val="00A272A7"/>
    <w:rsid w:val="00A30D26"/>
    <w:rsid w:val="00A30FD3"/>
    <w:rsid w:val="00A32BC4"/>
    <w:rsid w:val="00A32C0F"/>
    <w:rsid w:val="00A3331F"/>
    <w:rsid w:val="00A3413F"/>
    <w:rsid w:val="00A3432D"/>
    <w:rsid w:val="00A34BE3"/>
    <w:rsid w:val="00A365EE"/>
    <w:rsid w:val="00A37CD6"/>
    <w:rsid w:val="00A37D19"/>
    <w:rsid w:val="00A4256F"/>
    <w:rsid w:val="00A4313B"/>
    <w:rsid w:val="00A45BE2"/>
    <w:rsid w:val="00A45E5F"/>
    <w:rsid w:val="00A46B7F"/>
    <w:rsid w:val="00A4764B"/>
    <w:rsid w:val="00A52D50"/>
    <w:rsid w:val="00A602F8"/>
    <w:rsid w:val="00A60F51"/>
    <w:rsid w:val="00A62FB9"/>
    <w:rsid w:val="00A647E9"/>
    <w:rsid w:val="00A64FDC"/>
    <w:rsid w:val="00A667EC"/>
    <w:rsid w:val="00A66B92"/>
    <w:rsid w:val="00A674AD"/>
    <w:rsid w:val="00A675EE"/>
    <w:rsid w:val="00A67769"/>
    <w:rsid w:val="00A7031A"/>
    <w:rsid w:val="00A70339"/>
    <w:rsid w:val="00A705B9"/>
    <w:rsid w:val="00A70C83"/>
    <w:rsid w:val="00A7121E"/>
    <w:rsid w:val="00A71E53"/>
    <w:rsid w:val="00A7371D"/>
    <w:rsid w:val="00A753DE"/>
    <w:rsid w:val="00A7566D"/>
    <w:rsid w:val="00A7567F"/>
    <w:rsid w:val="00A75E71"/>
    <w:rsid w:val="00A81E87"/>
    <w:rsid w:val="00A82608"/>
    <w:rsid w:val="00A831A0"/>
    <w:rsid w:val="00A832A0"/>
    <w:rsid w:val="00A839D7"/>
    <w:rsid w:val="00A85371"/>
    <w:rsid w:val="00A86009"/>
    <w:rsid w:val="00A86CCC"/>
    <w:rsid w:val="00A91E9A"/>
    <w:rsid w:val="00A92A07"/>
    <w:rsid w:val="00A96122"/>
    <w:rsid w:val="00A96E08"/>
    <w:rsid w:val="00A96FB4"/>
    <w:rsid w:val="00AA0159"/>
    <w:rsid w:val="00AA0EEB"/>
    <w:rsid w:val="00AA19CD"/>
    <w:rsid w:val="00AA1A0E"/>
    <w:rsid w:val="00AA1FA3"/>
    <w:rsid w:val="00AA35E0"/>
    <w:rsid w:val="00AA40C4"/>
    <w:rsid w:val="00AB232A"/>
    <w:rsid w:val="00AB247E"/>
    <w:rsid w:val="00AB4C83"/>
    <w:rsid w:val="00AB4E39"/>
    <w:rsid w:val="00AB5DD7"/>
    <w:rsid w:val="00AB6548"/>
    <w:rsid w:val="00AB7824"/>
    <w:rsid w:val="00AC1021"/>
    <w:rsid w:val="00AC46DC"/>
    <w:rsid w:val="00AC5645"/>
    <w:rsid w:val="00AC6698"/>
    <w:rsid w:val="00AD1AF7"/>
    <w:rsid w:val="00AD1C34"/>
    <w:rsid w:val="00AD3DE1"/>
    <w:rsid w:val="00AD50EF"/>
    <w:rsid w:val="00AD55BF"/>
    <w:rsid w:val="00AD757B"/>
    <w:rsid w:val="00AD7AEA"/>
    <w:rsid w:val="00AE0228"/>
    <w:rsid w:val="00AE2096"/>
    <w:rsid w:val="00AE2EEA"/>
    <w:rsid w:val="00AE349F"/>
    <w:rsid w:val="00AE3D9E"/>
    <w:rsid w:val="00AE4B38"/>
    <w:rsid w:val="00AF1478"/>
    <w:rsid w:val="00AF183B"/>
    <w:rsid w:val="00AF1D7D"/>
    <w:rsid w:val="00AF27A2"/>
    <w:rsid w:val="00AF2C04"/>
    <w:rsid w:val="00AF2C44"/>
    <w:rsid w:val="00AF4497"/>
    <w:rsid w:val="00AF4C02"/>
    <w:rsid w:val="00AF5515"/>
    <w:rsid w:val="00AF5680"/>
    <w:rsid w:val="00AF67F8"/>
    <w:rsid w:val="00AF72CA"/>
    <w:rsid w:val="00AF79E8"/>
    <w:rsid w:val="00B00155"/>
    <w:rsid w:val="00B01828"/>
    <w:rsid w:val="00B01EF3"/>
    <w:rsid w:val="00B027F4"/>
    <w:rsid w:val="00B02D45"/>
    <w:rsid w:val="00B03F00"/>
    <w:rsid w:val="00B0494F"/>
    <w:rsid w:val="00B059D5"/>
    <w:rsid w:val="00B063D3"/>
    <w:rsid w:val="00B07652"/>
    <w:rsid w:val="00B10FFD"/>
    <w:rsid w:val="00B110BE"/>
    <w:rsid w:val="00B11E79"/>
    <w:rsid w:val="00B123AB"/>
    <w:rsid w:val="00B13F46"/>
    <w:rsid w:val="00B14325"/>
    <w:rsid w:val="00B14699"/>
    <w:rsid w:val="00B148AE"/>
    <w:rsid w:val="00B15ADC"/>
    <w:rsid w:val="00B15D0B"/>
    <w:rsid w:val="00B210C9"/>
    <w:rsid w:val="00B21161"/>
    <w:rsid w:val="00B21386"/>
    <w:rsid w:val="00B22FE6"/>
    <w:rsid w:val="00B273EF"/>
    <w:rsid w:val="00B315FF"/>
    <w:rsid w:val="00B33A07"/>
    <w:rsid w:val="00B33B31"/>
    <w:rsid w:val="00B34013"/>
    <w:rsid w:val="00B41ED4"/>
    <w:rsid w:val="00B42D08"/>
    <w:rsid w:val="00B431B5"/>
    <w:rsid w:val="00B45604"/>
    <w:rsid w:val="00B47CC0"/>
    <w:rsid w:val="00B54073"/>
    <w:rsid w:val="00B55C81"/>
    <w:rsid w:val="00B57238"/>
    <w:rsid w:val="00B602F2"/>
    <w:rsid w:val="00B6187F"/>
    <w:rsid w:val="00B62534"/>
    <w:rsid w:val="00B62A43"/>
    <w:rsid w:val="00B638A9"/>
    <w:rsid w:val="00B6525F"/>
    <w:rsid w:val="00B70449"/>
    <w:rsid w:val="00B706B6"/>
    <w:rsid w:val="00B70F4B"/>
    <w:rsid w:val="00B71A7D"/>
    <w:rsid w:val="00B74193"/>
    <w:rsid w:val="00B7591E"/>
    <w:rsid w:val="00B76415"/>
    <w:rsid w:val="00B77AE0"/>
    <w:rsid w:val="00B81002"/>
    <w:rsid w:val="00B8252D"/>
    <w:rsid w:val="00B82DE7"/>
    <w:rsid w:val="00B83612"/>
    <w:rsid w:val="00B84138"/>
    <w:rsid w:val="00B851C2"/>
    <w:rsid w:val="00B857B7"/>
    <w:rsid w:val="00B86749"/>
    <w:rsid w:val="00B8771B"/>
    <w:rsid w:val="00B877F4"/>
    <w:rsid w:val="00B87E8F"/>
    <w:rsid w:val="00B90715"/>
    <w:rsid w:val="00B9132A"/>
    <w:rsid w:val="00B92565"/>
    <w:rsid w:val="00B93515"/>
    <w:rsid w:val="00B9424C"/>
    <w:rsid w:val="00B94A7C"/>
    <w:rsid w:val="00B95045"/>
    <w:rsid w:val="00BA0864"/>
    <w:rsid w:val="00BA3554"/>
    <w:rsid w:val="00BA4047"/>
    <w:rsid w:val="00BA4BC8"/>
    <w:rsid w:val="00BA4FAF"/>
    <w:rsid w:val="00BA5077"/>
    <w:rsid w:val="00BA6065"/>
    <w:rsid w:val="00BA6D56"/>
    <w:rsid w:val="00BA7A3B"/>
    <w:rsid w:val="00BB16E8"/>
    <w:rsid w:val="00BB1DCE"/>
    <w:rsid w:val="00BB28BA"/>
    <w:rsid w:val="00BB2CEA"/>
    <w:rsid w:val="00BB479E"/>
    <w:rsid w:val="00BB48AC"/>
    <w:rsid w:val="00BB623D"/>
    <w:rsid w:val="00BC2044"/>
    <w:rsid w:val="00BC3339"/>
    <w:rsid w:val="00BC36B8"/>
    <w:rsid w:val="00BC3C7D"/>
    <w:rsid w:val="00BC4B74"/>
    <w:rsid w:val="00BC6C21"/>
    <w:rsid w:val="00BD0E66"/>
    <w:rsid w:val="00BD2E3C"/>
    <w:rsid w:val="00BD352B"/>
    <w:rsid w:val="00BD356A"/>
    <w:rsid w:val="00BD4011"/>
    <w:rsid w:val="00BD4897"/>
    <w:rsid w:val="00BD61D0"/>
    <w:rsid w:val="00BD7871"/>
    <w:rsid w:val="00BE0C79"/>
    <w:rsid w:val="00BE2355"/>
    <w:rsid w:val="00BE2D80"/>
    <w:rsid w:val="00BE327E"/>
    <w:rsid w:val="00BE377F"/>
    <w:rsid w:val="00BE449B"/>
    <w:rsid w:val="00BE5F85"/>
    <w:rsid w:val="00BE64C9"/>
    <w:rsid w:val="00BF19B3"/>
    <w:rsid w:val="00BF2B65"/>
    <w:rsid w:val="00BF2C71"/>
    <w:rsid w:val="00BF3C43"/>
    <w:rsid w:val="00BF6E4D"/>
    <w:rsid w:val="00BF7014"/>
    <w:rsid w:val="00BF726A"/>
    <w:rsid w:val="00BF759F"/>
    <w:rsid w:val="00BF7BA1"/>
    <w:rsid w:val="00C033D4"/>
    <w:rsid w:val="00C034EB"/>
    <w:rsid w:val="00C050F3"/>
    <w:rsid w:val="00C05365"/>
    <w:rsid w:val="00C056EB"/>
    <w:rsid w:val="00C07D91"/>
    <w:rsid w:val="00C11D24"/>
    <w:rsid w:val="00C125F2"/>
    <w:rsid w:val="00C137FB"/>
    <w:rsid w:val="00C13B0C"/>
    <w:rsid w:val="00C150B8"/>
    <w:rsid w:val="00C15AA8"/>
    <w:rsid w:val="00C15F1A"/>
    <w:rsid w:val="00C16709"/>
    <w:rsid w:val="00C16A2B"/>
    <w:rsid w:val="00C173D6"/>
    <w:rsid w:val="00C17699"/>
    <w:rsid w:val="00C2308F"/>
    <w:rsid w:val="00C2401F"/>
    <w:rsid w:val="00C24225"/>
    <w:rsid w:val="00C27195"/>
    <w:rsid w:val="00C2774D"/>
    <w:rsid w:val="00C318D2"/>
    <w:rsid w:val="00C33CC0"/>
    <w:rsid w:val="00C33FE3"/>
    <w:rsid w:val="00C40D07"/>
    <w:rsid w:val="00C41500"/>
    <w:rsid w:val="00C41FB6"/>
    <w:rsid w:val="00C43938"/>
    <w:rsid w:val="00C43AF8"/>
    <w:rsid w:val="00C44113"/>
    <w:rsid w:val="00C44990"/>
    <w:rsid w:val="00C457BA"/>
    <w:rsid w:val="00C467E2"/>
    <w:rsid w:val="00C47DEE"/>
    <w:rsid w:val="00C50C81"/>
    <w:rsid w:val="00C50D43"/>
    <w:rsid w:val="00C51A1D"/>
    <w:rsid w:val="00C51B73"/>
    <w:rsid w:val="00C5342A"/>
    <w:rsid w:val="00C53EBA"/>
    <w:rsid w:val="00C53F7F"/>
    <w:rsid w:val="00C549FC"/>
    <w:rsid w:val="00C575B9"/>
    <w:rsid w:val="00C61B26"/>
    <w:rsid w:val="00C64197"/>
    <w:rsid w:val="00C6552E"/>
    <w:rsid w:val="00C65F70"/>
    <w:rsid w:val="00C67501"/>
    <w:rsid w:val="00C72FA3"/>
    <w:rsid w:val="00C738BC"/>
    <w:rsid w:val="00C740D7"/>
    <w:rsid w:val="00C77555"/>
    <w:rsid w:val="00C80418"/>
    <w:rsid w:val="00C81073"/>
    <w:rsid w:val="00C81490"/>
    <w:rsid w:val="00C831B9"/>
    <w:rsid w:val="00C83A60"/>
    <w:rsid w:val="00C83DA2"/>
    <w:rsid w:val="00C83E30"/>
    <w:rsid w:val="00C8532C"/>
    <w:rsid w:val="00C862DC"/>
    <w:rsid w:val="00C906AE"/>
    <w:rsid w:val="00C91EDE"/>
    <w:rsid w:val="00C92B74"/>
    <w:rsid w:val="00C952F7"/>
    <w:rsid w:val="00C97D10"/>
    <w:rsid w:val="00C97F6E"/>
    <w:rsid w:val="00CA14A2"/>
    <w:rsid w:val="00CA1CC4"/>
    <w:rsid w:val="00CA26C3"/>
    <w:rsid w:val="00CA3D64"/>
    <w:rsid w:val="00CA4E7A"/>
    <w:rsid w:val="00CA4F48"/>
    <w:rsid w:val="00CA5019"/>
    <w:rsid w:val="00CA5430"/>
    <w:rsid w:val="00CA5873"/>
    <w:rsid w:val="00CA62B4"/>
    <w:rsid w:val="00CA6987"/>
    <w:rsid w:val="00CA712B"/>
    <w:rsid w:val="00CA743E"/>
    <w:rsid w:val="00CB20E1"/>
    <w:rsid w:val="00CB264C"/>
    <w:rsid w:val="00CB3E8D"/>
    <w:rsid w:val="00CC0B22"/>
    <w:rsid w:val="00CC1B84"/>
    <w:rsid w:val="00CC3A0D"/>
    <w:rsid w:val="00CC4290"/>
    <w:rsid w:val="00CC4419"/>
    <w:rsid w:val="00CC4F48"/>
    <w:rsid w:val="00CC5C47"/>
    <w:rsid w:val="00CC6B22"/>
    <w:rsid w:val="00CC7215"/>
    <w:rsid w:val="00CC74B8"/>
    <w:rsid w:val="00CD166D"/>
    <w:rsid w:val="00CD17CF"/>
    <w:rsid w:val="00CD29FD"/>
    <w:rsid w:val="00CD4FDC"/>
    <w:rsid w:val="00CD5ED4"/>
    <w:rsid w:val="00CD6750"/>
    <w:rsid w:val="00CE039C"/>
    <w:rsid w:val="00CE04D7"/>
    <w:rsid w:val="00CE1F44"/>
    <w:rsid w:val="00CE212C"/>
    <w:rsid w:val="00CE4FFF"/>
    <w:rsid w:val="00CE6019"/>
    <w:rsid w:val="00CE71CF"/>
    <w:rsid w:val="00CE7CF2"/>
    <w:rsid w:val="00CF07F7"/>
    <w:rsid w:val="00CF1026"/>
    <w:rsid w:val="00CF12C7"/>
    <w:rsid w:val="00CF2CDE"/>
    <w:rsid w:val="00CF549F"/>
    <w:rsid w:val="00CF5591"/>
    <w:rsid w:val="00D0017C"/>
    <w:rsid w:val="00D0089A"/>
    <w:rsid w:val="00D00AF7"/>
    <w:rsid w:val="00D0181F"/>
    <w:rsid w:val="00D02C44"/>
    <w:rsid w:val="00D03143"/>
    <w:rsid w:val="00D10479"/>
    <w:rsid w:val="00D113FE"/>
    <w:rsid w:val="00D11BC6"/>
    <w:rsid w:val="00D121AB"/>
    <w:rsid w:val="00D16AC9"/>
    <w:rsid w:val="00D17697"/>
    <w:rsid w:val="00D179B7"/>
    <w:rsid w:val="00D17E92"/>
    <w:rsid w:val="00D206DB"/>
    <w:rsid w:val="00D208C2"/>
    <w:rsid w:val="00D208F6"/>
    <w:rsid w:val="00D20A46"/>
    <w:rsid w:val="00D21479"/>
    <w:rsid w:val="00D21848"/>
    <w:rsid w:val="00D21BB2"/>
    <w:rsid w:val="00D21CBB"/>
    <w:rsid w:val="00D21D32"/>
    <w:rsid w:val="00D21F8F"/>
    <w:rsid w:val="00D22931"/>
    <w:rsid w:val="00D239E8"/>
    <w:rsid w:val="00D26B61"/>
    <w:rsid w:val="00D309DF"/>
    <w:rsid w:val="00D30A23"/>
    <w:rsid w:val="00D30E62"/>
    <w:rsid w:val="00D31784"/>
    <w:rsid w:val="00D322BD"/>
    <w:rsid w:val="00D3251C"/>
    <w:rsid w:val="00D32CFC"/>
    <w:rsid w:val="00D33BC1"/>
    <w:rsid w:val="00D36261"/>
    <w:rsid w:val="00D375A4"/>
    <w:rsid w:val="00D412EB"/>
    <w:rsid w:val="00D425EE"/>
    <w:rsid w:val="00D4278D"/>
    <w:rsid w:val="00D43B69"/>
    <w:rsid w:val="00D44548"/>
    <w:rsid w:val="00D44DB3"/>
    <w:rsid w:val="00D455FD"/>
    <w:rsid w:val="00D504C3"/>
    <w:rsid w:val="00D5217E"/>
    <w:rsid w:val="00D5553E"/>
    <w:rsid w:val="00D57BCC"/>
    <w:rsid w:val="00D57F7A"/>
    <w:rsid w:val="00D61A01"/>
    <w:rsid w:val="00D63370"/>
    <w:rsid w:val="00D6428A"/>
    <w:rsid w:val="00D64665"/>
    <w:rsid w:val="00D64D02"/>
    <w:rsid w:val="00D651B4"/>
    <w:rsid w:val="00D6688D"/>
    <w:rsid w:val="00D66C89"/>
    <w:rsid w:val="00D712B3"/>
    <w:rsid w:val="00D71A0C"/>
    <w:rsid w:val="00D74F9E"/>
    <w:rsid w:val="00D75C17"/>
    <w:rsid w:val="00D75E19"/>
    <w:rsid w:val="00D7700F"/>
    <w:rsid w:val="00D7733C"/>
    <w:rsid w:val="00D8047F"/>
    <w:rsid w:val="00D80E25"/>
    <w:rsid w:val="00D817A7"/>
    <w:rsid w:val="00D82737"/>
    <w:rsid w:val="00D82F9C"/>
    <w:rsid w:val="00D83E34"/>
    <w:rsid w:val="00D85EE5"/>
    <w:rsid w:val="00D87826"/>
    <w:rsid w:val="00D87E73"/>
    <w:rsid w:val="00D914FA"/>
    <w:rsid w:val="00D92538"/>
    <w:rsid w:val="00D929E1"/>
    <w:rsid w:val="00D937F5"/>
    <w:rsid w:val="00D93BA4"/>
    <w:rsid w:val="00D93DD9"/>
    <w:rsid w:val="00D940F7"/>
    <w:rsid w:val="00D962E3"/>
    <w:rsid w:val="00D9660A"/>
    <w:rsid w:val="00DA286F"/>
    <w:rsid w:val="00DA3B3F"/>
    <w:rsid w:val="00DA5A55"/>
    <w:rsid w:val="00DA6415"/>
    <w:rsid w:val="00DA74D2"/>
    <w:rsid w:val="00DA7A4B"/>
    <w:rsid w:val="00DA7E19"/>
    <w:rsid w:val="00DB38AA"/>
    <w:rsid w:val="00DB40A7"/>
    <w:rsid w:val="00DB59EA"/>
    <w:rsid w:val="00DB605F"/>
    <w:rsid w:val="00DB6581"/>
    <w:rsid w:val="00DB6E14"/>
    <w:rsid w:val="00DB7AC2"/>
    <w:rsid w:val="00DB7DBD"/>
    <w:rsid w:val="00DC1A4C"/>
    <w:rsid w:val="00DC3159"/>
    <w:rsid w:val="00DC48C8"/>
    <w:rsid w:val="00DC53CE"/>
    <w:rsid w:val="00DC59C5"/>
    <w:rsid w:val="00DC607E"/>
    <w:rsid w:val="00DC60D2"/>
    <w:rsid w:val="00DD02EE"/>
    <w:rsid w:val="00DD1B83"/>
    <w:rsid w:val="00DD293A"/>
    <w:rsid w:val="00DD367C"/>
    <w:rsid w:val="00DD4686"/>
    <w:rsid w:val="00DD4FFB"/>
    <w:rsid w:val="00DD583A"/>
    <w:rsid w:val="00DD5A2E"/>
    <w:rsid w:val="00DD5C91"/>
    <w:rsid w:val="00DE1C4A"/>
    <w:rsid w:val="00DE32AD"/>
    <w:rsid w:val="00DE4A08"/>
    <w:rsid w:val="00DE5136"/>
    <w:rsid w:val="00DE69C2"/>
    <w:rsid w:val="00DE6E43"/>
    <w:rsid w:val="00DE7035"/>
    <w:rsid w:val="00DE7FF9"/>
    <w:rsid w:val="00DF0C52"/>
    <w:rsid w:val="00DF0F61"/>
    <w:rsid w:val="00DF3041"/>
    <w:rsid w:val="00DF34AA"/>
    <w:rsid w:val="00DF50B2"/>
    <w:rsid w:val="00DF7B1B"/>
    <w:rsid w:val="00DF7CA3"/>
    <w:rsid w:val="00E024CC"/>
    <w:rsid w:val="00E032C6"/>
    <w:rsid w:val="00E047DA"/>
    <w:rsid w:val="00E07E4D"/>
    <w:rsid w:val="00E10023"/>
    <w:rsid w:val="00E12227"/>
    <w:rsid w:val="00E1259C"/>
    <w:rsid w:val="00E126C5"/>
    <w:rsid w:val="00E154E4"/>
    <w:rsid w:val="00E16DE7"/>
    <w:rsid w:val="00E17A1F"/>
    <w:rsid w:val="00E201A1"/>
    <w:rsid w:val="00E201F4"/>
    <w:rsid w:val="00E20DE0"/>
    <w:rsid w:val="00E221CF"/>
    <w:rsid w:val="00E224AA"/>
    <w:rsid w:val="00E2298F"/>
    <w:rsid w:val="00E22EF2"/>
    <w:rsid w:val="00E238AB"/>
    <w:rsid w:val="00E23AD5"/>
    <w:rsid w:val="00E23E20"/>
    <w:rsid w:val="00E243FC"/>
    <w:rsid w:val="00E244B1"/>
    <w:rsid w:val="00E249A9"/>
    <w:rsid w:val="00E25207"/>
    <w:rsid w:val="00E25510"/>
    <w:rsid w:val="00E255DB"/>
    <w:rsid w:val="00E271F4"/>
    <w:rsid w:val="00E27DC6"/>
    <w:rsid w:val="00E300F2"/>
    <w:rsid w:val="00E3065E"/>
    <w:rsid w:val="00E307B5"/>
    <w:rsid w:val="00E315BD"/>
    <w:rsid w:val="00E320C5"/>
    <w:rsid w:val="00E327C5"/>
    <w:rsid w:val="00E33E62"/>
    <w:rsid w:val="00E346F0"/>
    <w:rsid w:val="00E369BC"/>
    <w:rsid w:val="00E37D01"/>
    <w:rsid w:val="00E37DE4"/>
    <w:rsid w:val="00E37F4F"/>
    <w:rsid w:val="00E41AB9"/>
    <w:rsid w:val="00E42B51"/>
    <w:rsid w:val="00E42BB5"/>
    <w:rsid w:val="00E442FD"/>
    <w:rsid w:val="00E443D6"/>
    <w:rsid w:val="00E44CA6"/>
    <w:rsid w:val="00E54461"/>
    <w:rsid w:val="00E54C83"/>
    <w:rsid w:val="00E55F2A"/>
    <w:rsid w:val="00E57548"/>
    <w:rsid w:val="00E57C32"/>
    <w:rsid w:val="00E57C37"/>
    <w:rsid w:val="00E60851"/>
    <w:rsid w:val="00E620B3"/>
    <w:rsid w:val="00E62868"/>
    <w:rsid w:val="00E63E72"/>
    <w:rsid w:val="00E64427"/>
    <w:rsid w:val="00E64B69"/>
    <w:rsid w:val="00E66669"/>
    <w:rsid w:val="00E67337"/>
    <w:rsid w:val="00E67848"/>
    <w:rsid w:val="00E67D84"/>
    <w:rsid w:val="00E67D8F"/>
    <w:rsid w:val="00E7061A"/>
    <w:rsid w:val="00E728B6"/>
    <w:rsid w:val="00E72C5C"/>
    <w:rsid w:val="00E73835"/>
    <w:rsid w:val="00E74FCE"/>
    <w:rsid w:val="00E75118"/>
    <w:rsid w:val="00E75901"/>
    <w:rsid w:val="00E76F60"/>
    <w:rsid w:val="00E802CD"/>
    <w:rsid w:val="00E809D8"/>
    <w:rsid w:val="00E80CD6"/>
    <w:rsid w:val="00E8353F"/>
    <w:rsid w:val="00E87227"/>
    <w:rsid w:val="00E91C20"/>
    <w:rsid w:val="00E92F78"/>
    <w:rsid w:val="00E94324"/>
    <w:rsid w:val="00E9482C"/>
    <w:rsid w:val="00E957FD"/>
    <w:rsid w:val="00E961FA"/>
    <w:rsid w:val="00E96A1C"/>
    <w:rsid w:val="00E97A23"/>
    <w:rsid w:val="00E97C2D"/>
    <w:rsid w:val="00EA0553"/>
    <w:rsid w:val="00EA2071"/>
    <w:rsid w:val="00EA21F0"/>
    <w:rsid w:val="00EA3CFE"/>
    <w:rsid w:val="00EA4001"/>
    <w:rsid w:val="00EA563C"/>
    <w:rsid w:val="00EA565C"/>
    <w:rsid w:val="00EA5C85"/>
    <w:rsid w:val="00EA6339"/>
    <w:rsid w:val="00EA6C9A"/>
    <w:rsid w:val="00EA72B7"/>
    <w:rsid w:val="00EA777F"/>
    <w:rsid w:val="00EB1A03"/>
    <w:rsid w:val="00EB1D67"/>
    <w:rsid w:val="00EB2CBA"/>
    <w:rsid w:val="00EB3C3F"/>
    <w:rsid w:val="00EB4F7B"/>
    <w:rsid w:val="00EB5097"/>
    <w:rsid w:val="00EB6173"/>
    <w:rsid w:val="00EB6766"/>
    <w:rsid w:val="00EB7401"/>
    <w:rsid w:val="00EB7BDD"/>
    <w:rsid w:val="00EB7E1B"/>
    <w:rsid w:val="00EB7FD0"/>
    <w:rsid w:val="00EC01E4"/>
    <w:rsid w:val="00EC03BC"/>
    <w:rsid w:val="00EC149B"/>
    <w:rsid w:val="00EC1A99"/>
    <w:rsid w:val="00EC1EE7"/>
    <w:rsid w:val="00EC3D6A"/>
    <w:rsid w:val="00EC42EA"/>
    <w:rsid w:val="00EC48B0"/>
    <w:rsid w:val="00EC5B37"/>
    <w:rsid w:val="00EC6131"/>
    <w:rsid w:val="00EC6509"/>
    <w:rsid w:val="00ED025A"/>
    <w:rsid w:val="00ED16C2"/>
    <w:rsid w:val="00ED1762"/>
    <w:rsid w:val="00ED2D53"/>
    <w:rsid w:val="00ED3745"/>
    <w:rsid w:val="00ED43B8"/>
    <w:rsid w:val="00ED5101"/>
    <w:rsid w:val="00ED6298"/>
    <w:rsid w:val="00EE0327"/>
    <w:rsid w:val="00EE1CC6"/>
    <w:rsid w:val="00EE2988"/>
    <w:rsid w:val="00EE2C17"/>
    <w:rsid w:val="00EE35FD"/>
    <w:rsid w:val="00EE385A"/>
    <w:rsid w:val="00EE6654"/>
    <w:rsid w:val="00EE7967"/>
    <w:rsid w:val="00EF060B"/>
    <w:rsid w:val="00EF12B7"/>
    <w:rsid w:val="00EF23DE"/>
    <w:rsid w:val="00EF56CE"/>
    <w:rsid w:val="00EF5EF2"/>
    <w:rsid w:val="00EF6177"/>
    <w:rsid w:val="00EF642E"/>
    <w:rsid w:val="00EF725F"/>
    <w:rsid w:val="00EF75DF"/>
    <w:rsid w:val="00F013EC"/>
    <w:rsid w:val="00F01874"/>
    <w:rsid w:val="00F01D33"/>
    <w:rsid w:val="00F04A45"/>
    <w:rsid w:val="00F04EBA"/>
    <w:rsid w:val="00F05508"/>
    <w:rsid w:val="00F06529"/>
    <w:rsid w:val="00F06771"/>
    <w:rsid w:val="00F1092C"/>
    <w:rsid w:val="00F115D7"/>
    <w:rsid w:val="00F12E49"/>
    <w:rsid w:val="00F134F6"/>
    <w:rsid w:val="00F138C1"/>
    <w:rsid w:val="00F13EAE"/>
    <w:rsid w:val="00F141D8"/>
    <w:rsid w:val="00F14F95"/>
    <w:rsid w:val="00F16E32"/>
    <w:rsid w:val="00F200B5"/>
    <w:rsid w:val="00F23785"/>
    <w:rsid w:val="00F25076"/>
    <w:rsid w:val="00F269A5"/>
    <w:rsid w:val="00F27CEA"/>
    <w:rsid w:val="00F3099A"/>
    <w:rsid w:val="00F30FE3"/>
    <w:rsid w:val="00F310CA"/>
    <w:rsid w:val="00F31367"/>
    <w:rsid w:val="00F32618"/>
    <w:rsid w:val="00F33884"/>
    <w:rsid w:val="00F33DDC"/>
    <w:rsid w:val="00F34573"/>
    <w:rsid w:val="00F34674"/>
    <w:rsid w:val="00F37D5B"/>
    <w:rsid w:val="00F4058C"/>
    <w:rsid w:val="00F40BF2"/>
    <w:rsid w:val="00F416F3"/>
    <w:rsid w:val="00F4321D"/>
    <w:rsid w:val="00F45930"/>
    <w:rsid w:val="00F463BB"/>
    <w:rsid w:val="00F5283B"/>
    <w:rsid w:val="00F55091"/>
    <w:rsid w:val="00F5554F"/>
    <w:rsid w:val="00F55C07"/>
    <w:rsid w:val="00F569AE"/>
    <w:rsid w:val="00F56AB5"/>
    <w:rsid w:val="00F578FD"/>
    <w:rsid w:val="00F60381"/>
    <w:rsid w:val="00F61B6F"/>
    <w:rsid w:val="00F663FF"/>
    <w:rsid w:val="00F66AF1"/>
    <w:rsid w:val="00F70BCF"/>
    <w:rsid w:val="00F70BD9"/>
    <w:rsid w:val="00F72521"/>
    <w:rsid w:val="00F744E1"/>
    <w:rsid w:val="00F75227"/>
    <w:rsid w:val="00F75CF4"/>
    <w:rsid w:val="00F77E3B"/>
    <w:rsid w:val="00F816B4"/>
    <w:rsid w:val="00F81B38"/>
    <w:rsid w:val="00F825E1"/>
    <w:rsid w:val="00F829D2"/>
    <w:rsid w:val="00F82CCE"/>
    <w:rsid w:val="00F839FF"/>
    <w:rsid w:val="00F86B23"/>
    <w:rsid w:val="00F86FA6"/>
    <w:rsid w:val="00F90191"/>
    <w:rsid w:val="00F94B38"/>
    <w:rsid w:val="00F959A1"/>
    <w:rsid w:val="00F9614B"/>
    <w:rsid w:val="00F97F12"/>
    <w:rsid w:val="00F97F4A"/>
    <w:rsid w:val="00FA1465"/>
    <w:rsid w:val="00FA1CEB"/>
    <w:rsid w:val="00FA225F"/>
    <w:rsid w:val="00FA386D"/>
    <w:rsid w:val="00FA4753"/>
    <w:rsid w:val="00FA592F"/>
    <w:rsid w:val="00FA651B"/>
    <w:rsid w:val="00FA740D"/>
    <w:rsid w:val="00FB25CC"/>
    <w:rsid w:val="00FB6BD7"/>
    <w:rsid w:val="00FB6DC4"/>
    <w:rsid w:val="00FC17E4"/>
    <w:rsid w:val="00FC2DDA"/>
    <w:rsid w:val="00FC3C42"/>
    <w:rsid w:val="00FC67FF"/>
    <w:rsid w:val="00FC6BA3"/>
    <w:rsid w:val="00FC71CE"/>
    <w:rsid w:val="00FD066E"/>
    <w:rsid w:val="00FD1449"/>
    <w:rsid w:val="00FD2219"/>
    <w:rsid w:val="00FD4F9A"/>
    <w:rsid w:val="00FD5AE3"/>
    <w:rsid w:val="00FD60A2"/>
    <w:rsid w:val="00FE076E"/>
    <w:rsid w:val="00FE1478"/>
    <w:rsid w:val="00FE3BE7"/>
    <w:rsid w:val="00FE48C0"/>
    <w:rsid w:val="00FE530B"/>
    <w:rsid w:val="00FE761C"/>
    <w:rsid w:val="00FF2E96"/>
    <w:rsid w:val="00FF3C68"/>
    <w:rsid w:val="00FF4895"/>
    <w:rsid w:val="00FF5DC6"/>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14:docId w14:val="44BD5D85"/>
  <w15:docId w15:val="{1FC59072-087A-453D-963C-C62F6A7D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151DAC"/>
    <w:rPr>
      <w:rFonts w:ascii="Times New Roman" w:eastAsia="Times New Roman" w:hAnsi="Times New Roman"/>
      <w:sz w:val="24"/>
    </w:rPr>
  </w:style>
  <w:style w:type="paragraph" w:styleId="10">
    <w:name w:val="heading 1"/>
    <w:basedOn w:val="a3"/>
    <w:next w:val="a3"/>
    <w:link w:val="11"/>
    <w:qFormat/>
    <w:rsid w:val="0059768E"/>
    <w:pPr>
      <w:keepNext/>
      <w:numPr>
        <w:numId w:val="1"/>
      </w:numPr>
      <w:spacing w:before="360" w:after="120"/>
      <w:ind w:right="-57"/>
      <w:outlineLvl w:val="0"/>
    </w:pPr>
    <w:rPr>
      <w:rFonts w:ascii="Times New Roman CYR" w:hAnsi="Times New Roman CYR" w:cs="Times New Roman CYR"/>
      <w:kern w:val="28"/>
      <w:szCs w:val="24"/>
    </w:rPr>
  </w:style>
  <w:style w:type="paragraph" w:styleId="2">
    <w:name w:val="heading 2"/>
    <w:basedOn w:val="a3"/>
    <w:next w:val="a3"/>
    <w:link w:val="20"/>
    <w:uiPriority w:val="9"/>
    <w:qFormat/>
    <w:rsid w:val="007270C4"/>
    <w:pPr>
      <w:keepNext/>
      <w:spacing w:before="240" w:after="60"/>
      <w:outlineLvl w:val="1"/>
    </w:pPr>
    <w:rPr>
      <w:rFonts w:cs="Arial"/>
      <w:b/>
      <w:bCs/>
      <w:iCs/>
      <w:szCs w:val="24"/>
    </w:rPr>
  </w:style>
  <w:style w:type="paragraph" w:styleId="3">
    <w:name w:val="heading 3"/>
    <w:aliases w:val="Заголовок 3 Знак1,Заголовок 3 Знак Знак"/>
    <w:basedOn w:val="a3"/>
    <w:next w:val="a3"/>
    <w:link w:val="30"/>
    <w:uiPriority w:val="9"/>
    <w:qFormat/>
    <w:rsid w:val="00DE32AD"/>
    <w:pPr>
      <w:keepNext/>
      <w:spacing w:before="240" w:after="60"/>
      <w:outlineLvl w:val="2"/>
    </w:pPr>
    <w:rPr>
      <w:b/>
      <w:bCs/>
      <w:szCs w:val="24"/>
    </w:rPr>
  </w:style>
  <w:style w:type="paragraph" w:styleId="4">
    <w:name w:val="heading 4"/>
    <w:basedOn w:val="a3"/>
    <w:next w:val="a3"/>
    <w:link w:val="40"/>
    <w:uiPriority w:val="9"/>
    <w:qFormat/>
    <w:rsid w:val="00484282"/>
    <w:pPr>
      <w:keepNext/>
      <w:numPr>
        <w:ilvl w:val="3"/>
        <w:numId w:val="1"/>
      </w:numPr>
      <w:spacing w:before="240" w:after="60"/>
      <w:outlineLvl w:val="3"/>
    </w:pPr>
    <w:rPr>
      <w:b/>
      <w:bCs/>
      <w:i/>
      <w:iCs/>
      <w:szCs w:val="24"/>
    </w:rPr>
  </w:style>
  <w:style w:type="paragraph" w:styleId="5">
    <w:name w:val="heading 5"/>
    <w:basedOn w:val="a3"/>
    <w:next w:val="a3"/>
    <w:link w:val="50"/>
    <w:uiPriority w:val="9"/>
    <w:qFormat/>
    <w:rsid w:val="00484282"/>
    <w:pPr>
      <w:numPr>
        <w:ilvl w:val="4"/>
        <w:numId w:val="1"/>
      </w:numPr>
      <w:spacing w:before="240" w:after="60"/>
      <w:outlineLvl w:val="4"/>
    </w:pPr>
    <w:rPr>
      <w:rFonts w:ascii="Arial" w:hAnsi="Arial" w:cs="Arial"/>
      <w:sz w:val="22"/>
      <w:szCs w:val="22"/>
    </w:rPr>
  </w:style>
  <w:style w:type="paragraph" w:styleId="6">
    <w:name w:val="heading 6"/>
    <w:basedOn w:val="a3"/>
    <w:next w:val="a3"/>
    <w:link w:val="60"/>
    <w:uiPriority w:val="9"/>
    <w:unhideWhenUsed/>
    <w:qFormat/>
    <w:rsid w:val="00856924"/>
    <w:pPr>
      <w:keepNext/>
      <w:keepLines/>
      <w:autoSpaceDE w:val="0"/>
      <w:autoSpaceDN w:val="0"/>
      <w:adjustRightInd w:val="0"/>
      <w:spacing w:before="40"/>
      <w:ind w:left="1152" w:hanging="1152"/>
      <w:jc w:val="both"/>
      <w:outlineLvl w:val="5"/>
    </w:pPr>
    <w:rPr>
      <w:rFonts w:ascii="Cambria" w:hAnsi="Cambria"/>
      <w:color w:val="243F60"/>
      <w:sz w:val="22"/>
      <w:szCs w:val="22"/>
      <w:lang w:eastAsia="en-US"/>
    </w:rPr>
  </w:style>
  <w:style w:type="paragraph" w:styleId="7">
    <w:name w:val="heading 7"/>
    <w:basedOn w:val="a3"/>
    <w:next w:val="a3"/>
    <w:link w:val="70"/>
    <w:uiPriority w:val="99"/>
    <w:unhideWhenUsed/>
    <w:qFormat/>
    <w:rsid w:val="00856924"/>
    <w:pPr>
      <w:keepNext/>
      <w:keepLines/>
      <w:autoSpaceDE w:val="0"/>
      <w:autoSpaceDN w:val="0"/>
      <w:adjustRightInd w:val="0"/>
      <w:spacing w:before="40"/>
      <w:ind w:left="1296" w:hanging="1296"/>
      <w:jc w:val="both"/>
      <w:outlineLvl w:val="6"/>
    </w:pPr>
    <w:rPr>
      <w:rFonts w:ascii="Cambria" w:hAnsi="Cambria"/>
      <w:i/>
      <w:iCs/>
      <w:color w:val="243F60"/>
      <w:sz w:val="22"/>
      <w:szCs w:val="22"/>
      <w:lang w:eastAsia="en-US"/>
    </w:rPr>
  </w:style>
  <w:style w:type="paragraph" w:styleId="8">
    <w:name w:val="heading 8"/>
    <w:basedOn w:val="a3"/>
    <w:next w:val="a3"/>
    <w:link w:val="80"/>
    <w:uiPriority w:val="99"/>
    <w:unhideWhenUsed/>
    <w:qFormat/>
    <w:rsid w:val="00856924"/>
    <w:pPr>
      <w:keepNext/>
      <w:keepLines/>
      <w:autoSpaceDE w:val="0"/>
      <w:autoSpaceDN w:val="0"/>
      <w:adjustRightInd w:val="0"/>
      <w:spacing w:before="40"/>
      <w:ind w:left="1440" w:hanging="1440"/>
      <w:jc w:val="both"/>
      <w:outlineLvl w:val="7"/>
    </w:pPr>
    <w:rPr>
      <w:rFonts w:ascii="Cambria" w:hAnsi="Cambria"/>
      <w:color w:val="272727"/>
      <w:sz w:val="21"/>
      <w:szCs w:val="21"/>
      <w:lang w:eastAsia="en-US"/>
    </w:rPr>
  </w:style>
  <w:style w:type="paragraph" w:styleId="9">
    <w:name w:val="heading 9"/>
    <w:basedOn w:val="a3"/>
    <w:next w:val="a3"/>
    <w:link w:val="90"/>
    <w:uiPriority w:val="99"/>
    <w:unhideWhenUsed/>
    <w:qFormat/>
    <w:rsid w:val="00856924"/>
    <w:pPr>
      <w:keepNext/>
      <w:keepLines/>
      <w:autoSpaceDE w:val="0"/>
      <w:autoSpaceDN w:val="0"/>
      <w:adjustRightInd w:val="0"/>
      <w:spacing w:before="40"/>
      <w:ind w:left="1584" w:hanging="1584"/>
      <w:jc w:val="both"/>
      <w:outlineLvl w:val="8"/>
    </w:pPr>
    <w:rPr>
      <w:rFonts w:ascii="Cambria" w:hAnsi="Cambria"/>
      <w:i/>
      <w:iCs/>
      <w:color w:val="272727"/>
      <w:sz w:val="21"/>
      <w:szCs w:val="21"/>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link w:val="10"/>
    <w:rsid w:val="0059768E"/>
    <w:rPr>
      <w:rFonts w:ascii="Times New Roman CYR" w:eastAsia="Times New Roman" w:hAnsi="Times New Roman CYR" w:cs="Times New Roman CYR"/>
      <w:kern w:val="28"/>
      <w:sz w:val="24"/>
      <w:szCs w:val="24"/>
    </w:rPr>
  </w:style>
  <w:style w:type="character" w:customStyle="1" w:styleId="20">
    <w:name w:val="Заголовок 2 Знак"/>
    <w:link w:val="2"/>
    <w:uiPriority w:val="9"/>
    <w:rsid w:val="007270C4"/>
    <w:rPr>
      <w:rFonts w:ascii="Times New Roman" w:eastAsia="Times New Roman" w:hAnsi="Times New Roman" w:cs="Arial"/>
      <w:b/>
      <w:bCs/>
      <w:iCs/>
      <w:sz w:val="24"/>
      <w:szCs w:val="24"/>
    </w:rPr>
  </w:style>
  <w:style w:type="character" w:customStyle="1" w:styleId="30">
    <w:name w:val="Заголовок 3 Знак"/>
    <w:aliases w:val="Заголовок 3 Знак1 Знак,Заголовок 3 Знак Знак Знак"/>
    <w:link w:val="3"/>
    <w:uiPriority w:val="9"/>
    <w:rsid w:val="00484282"/>
    <w:rPr>
      <w:rFonts w:ascii="Times New Roman" w:eastAsia="Times New Roman" w:hAnsi="Times New Roman"/>
      <w:b/>
      <w:bCs/>
      <w:sz w:val="24"/>
      <w:szCs w:val="24"/>
    </w:rPr>
  </w:style>
  <w:style w:type="character" w:customStyle="1" w:styleId="40">
    <w:name w:val="Заголовок 4 Знак"/>
    <w:link w:val="4"/>
    <w:uiPriority w:val="9"/>
    <w:rsid w:val="00484282"/>
    <w:rPr>
      <w:rFonts w:ascii="Times New Roman" w:eastAsia="Times New Roman" w:hAnsi="Times New Roman"/>
      <w:b/>
      <w:bCs/>
      <w:i/>
      <w:iCs/>
      <w:sz w:val="24"/>
      <w:szCs w:val="24"/>
    </w:rPr>
  </w:style>
  <w:style w:type="character" w:customStyle="1" w:styleId="50">
    <w:name w:val="Заголовок 5 Знак"/>
    <w:link w:val="5"/>
    <w:uiPriority w:val="9"/>
    <w:rsid w:val="00484282"/>
    <w:rPr>
      <w:rFonts w:ascii="Arial" w:eastAsia="Times New Roman" w:hAnsi="Arial" w:cs="Arial"/>
      <w:sz w:val="22"/>
      <w:szCs w:val="22"/>
    </w:rPr>
  </w:style>
  <w:style w:type="character" w:customStyle="1" w:styleId="60">
    <w:name w:val="Заголовок 6 Знак"/>
    <w:basedOn w:val="a4"/>
    <w:link w:val="6"/>
    <w:uiPriority w:val="9"/>
    <w:rsid w:val="00856924"/>
    <w:rPr>
      <w:rFonts w:ascii="Cambria" w:eastAsia="Times New Roman" w:hAnsi="Cambria"/>
      <w:color w:val="243F60"/>
      <w:sz w:val="22"/>
      <w:szCs w:val="22"/>
      <w:lang w:eastAsia="en-US"/>
    </w:rPr>
  </w:style>
  <w:style w:type="character" w:customStyle="1" w:styleId="70">
    <w:name w:val="Заголовок 7 Знак"/>
    <w:basedOn w:val="a4"/>
    <w:link w:val="7"/>
    <w:uiPriority w:val="99"/>
    <w:rsid w:val="00856924"/>
    <w:rPr>
      <w:rFonts w:ascii="Cambria" w:eastAsia="Times New Roman" w:hAnsi="Cambria"/>
      <w:i/>
      <w:iCs/>
      <w:color w:val="243F60"/>
      <w:sz w:val="22"/>
      <w:szCs w:val="22"/>
      <w:lang w:eastAsia="en-US"/>
    </w:rPr>
  </w:style>
  <w:style w:type="character" w:customStyle="1" w:styleId="80">
    <w:name w:val="Заголовок 8 Знак"/>
    <w:basedOn w:val="a4"/>
    <w:link w:val="8"/>
    <w:uiPriority w:val="99"/>
    <w:rsid w:val="00856924"/>
    <w:rPr>
      <w:rFonts w:ascii="Cambria" w:eastAsia="Times New Roman" w:hAnsi="Cambria"/>
      <w:color w:val="272727"/>
      <w:sz w:val="21"/>
      <w:szCs w:val="21"/>
      <w:lang w:eastAsia="en-US"/>
    </w:rPr>
  </w:style>
  <w:style w:type="character" w:customStyle="1" w:styleId="90">
    <w:name w:val="Заголовок 9 Знак"/>
    <w:basedOn w:val="a4"/>
    <w:link w:val="9"/>
    <w:uiPriority w:val="99"/>
    <w:rsid w:val="00856924"/>
    <w:rPr>
      <w:rFonts w:ascii="Cambria" w:eastAsia="Times New Roman" w:hAnsi="Cambria"/>
      <w:i/>
      <w:iCs/>
      <w:color w:val="272727"/>
      <w:sz w:val="21"/>
      <w:szCs w:val="21"/>
      <w:lang w:eastAsia="en-US"/>
    </w:rPr>
  </w:style>
  <w:style w:type="paragraph" w:customStyle="1" w:styleId="BodyNum">
    <w:name w:val="Body Num"/>
    <w:basedOn w:val="a3"/>
    <w:uiPriority w:val="99"/>
    <w:rsid w:val="00484282"/>
    <w:pPr>
      <w:numPr>
        <w:ilvl w:val="5"/>
        <w:numId w:val="1"/>
      </w:numPr>
      <w:spacing w:after="120"/>
      <w:jc w:val="both"/>
    </w:pPr>
    <w:rPr>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locked/>
    <w:rsid w:val="00A839D7"/>
    <w:rPr>
      <w:rFonts w:ascii="Arial" w:eastAsia="Times New Roman" w:hAnsi="Arial" w:cs="Arial"/>
    </w:rPr>
  </w:style>
  <w:style w:type="paragraph" w:styleId="a7">
    <w:name w:val="List Paragraph"/>
    <w:aliases w:val="Heading Bullet,Абзац маркированнный,Шаг процесса,UL,Предусловия,Table-Normal,RSHB_Table-Normal,Bullet List,FooterText,numbered,Bullet Number,Индексы,Num Bullet 1,Пункт,List1,List11,List111,List1111,List11111,List111111,List1111111,Liste1"/>
    <w:basedOn w:val="a3"/>
    <w:link w:val="a8"/>
    <w:uiPriority w:val="34"/>
    <w:qFormat/>
    <w:rsid w:val="005318EC"/>
    <w:pPr>
      <w:spacing w:after="200" w:line="276" w:lineRule="auto"/>
      <w:ind w:left="720"/>
      <w:contextualSpacing/>
    </w:pPr>
    <w:rPr>
      <w:rFonts w:ascii="Calibri" w:eastAsia="Calibri" w:hAnsi="Calibri"/>
      <w:sz w:val="22"/>
      <w:szCs w:val="22"/>
      <w:lang w:eastAsia="en-US"/>
    </w:rPr>
  </w:style>
  <w:style w:type="character" w:customStyle="1" w:styleId="a8">
    <w:name w:val="Абзац списка Знак"/>
    <w:aliases w:val="Heading Bullet Знак,Абзац маркированнный Знак,Шаг процесса Знак,UL Знак,Предусловия Знак,Table-Normal Знак,RSHB_Table-Normal Знак,Bullet List Знак,FooterText Знак,numbered Знак,Bullet Number Знак,Индексы Знак,Num Bullet 1 Знак"/>
    <w:link w:val="a7"/>
    <w:uiPriority w:val="34"/>
    <w:rsid w:val="00604ABF"/>
    <w:rPr>
      <w:sz w:val="22"/>
      <w:szCs w:val="22"/>
      <w:lang w:eastAsia="en-US"/>
    </w:rPr>
  </w:style>
  <w:style w:type="character" w:styleId="a9">
    <w:name w:val="Hyperlink"/>
    <w:uiPriority w:val="99"/>
    <w:rsid w:val="0016519B"/>
    <w:rPr>
      <w:color w:val="0000FF"/>
      <w:u w:val="single"/>
    </w:rPr>
  </w:style>
  <w:style w:type="paragraph" w:styleId="aa">
    <w:name w:val="Balloon Text"/>
    <w:basedOn w:val="a3"/>
    <w:link w:val="ab"/>
    <w:uiPriority w:val="99"/>
    <w:semiHidden/>
    <w:unhideWhenUsed/>
    <w:rsid w:val="00DB6581"/>
    <w:rPr>
      <w:rFonts w:ascii="Tahoma" w:hAnsi="Tahoma" w:cs="Tahoma"/>
      <w:sz w:val="16"/>
      <w:szCs w:val="16"/>
    </w:rPr>
  </w:style>
  <w:style w:type="character" w:customStyle="1" w:styleId="ab">
    <w:name w:val="Текст выноски Знак"/>
    <w:link w:val="aa"/>
    <w:uiPriority w:val="99"/>
    <w:semiHidden/>
    <w:rsid w:val="00DB6581"/>
    <w:rPr>
      <w:rFonts w:ascii="Tahoma" w:eastAsia="Times New Roman" w:hAnsi="Tahoma" w:cs="Tahoma"/>
      <w:sz w:val="16"/>
      <w:szCs w:val="16"/>
    </w:rPr>
  </w:style>
  <w:style w:type="character" w:styleId="ac">
    <w:name w:val="annotation reference"/>
    <w:unhideWhenUsed/>
    <w:rsid w:val="003830AE"/>
    <w:rPr>
      <w:sz w:val="16"/>
      <w:szCs w:val="16"/>
    </w:rPr>
  </w:style>
  <w:style w:type="paragraph" w:styleId="ad">
    <w:name w:val="annotation text"/>
    <w:basedOn w:val="a3"/>
    <w:link w:val="ae"/>
    <w:unhideWhenUsed/>
    <w:rsid w:val="003830AE"/>
    <w:pPr>
      <w:spacing w:after="200"/>
    </w:pPr>
    <w:rPr>
      <w:rFonts w:ascii="Calibri" w:eastAsia="Calibri" w:hAnsi="Calibri"/>
      <w:lang w:eastAsia="en-US"/>
    </w:rPr>
  </w:style>
  <w:style w:type="character" w:customStyle="1" w:styleId="ae">
    <w:name w:val="Текст примечания Знак"/>
    <w:link w:val="ad"/>
    <w:rsid w:val="003830AE"/>
    <w:rPr>
      <w:lang w:eastAsia="en-US"/>
    </w:rPr>
  </w:style>
  <w:style w:type="paragraph" w:styleId="af">
    <w:name w:val="footnote text"/>
    <w:aliases w:val="Footnote Textnote,MC Footnote Text,Footnote,Fußnote,C26 Footnote body,FuЯnote"/>
    <w:basedOn w:val="a3"/>
    <w:link w:val="af0"/>
    <w:unhideWhenUsed/>
    <w:qFormat/>
    <w:rsid w:val="003830AE"/>
    <w:rPr>
      <w:rFonts w:ascii="Verdana" w:eastAsia="Calibri" w:hAnsi="Verdana"/>
      <w:lang w:eastAsia="en-US"/>
    </w:rPr>
  </w:style>
  <w:style w:type="character" w:customStyle="1" w:styleId="af0">
    <w:name w:val="Текст сноски Знак"/>
    <w:aliases w:val="Footnote Textnote Знак,MC Footnote Text Знак,Footnote Знак,Fußnote Знак,C26 Footnote body Знак,FuЯnote Знак"/>
    <w:link w:val="af"/>
    <w:rsid w:val="003830AE"/>
    <w:rPr>
      <w:rFonts w:ascii="Verdana" w:hAnsi="Verdana"/>
      <w:lang w:eastAsia="en-US"/>
    </w:rPr>
  </w:style>
  <w:style w:type="character" w:styleId="af1">
    <w:name w:val="footnote reference"/>
    <w:aliases w:val="ХИА_ЗС,Знак сноски 1,Знак сноски-FN,Ciae niinee-FN,Referencia nota al pie,ООО Знак сноски,СНОСКА,сноска1,сноска,вески,ftref,fr,Used by Word for Help footnote symbols,Avg - Знак сноски,avg-Знак сноски,Avg,SUPERS,Footnote Reference_LVL6"/>
    <w:uiPriority w:val="99"/>
    <w:unhideWhenUsed/>
    <w:qFormat/>
    <w:rsid w:val="003830AE"/>
    <w:rPr>
      <w:vertAlign w:val="superscript"/>
    </w:rPr>
  </w:style>
  <w:style w:type="paragraph" w:styleId="af2">
    <w:name w:val="annotation subject"/>
    <w:basedOn w:val="ad"/>
    <w:next w:val="ad"/>
    <w:link w:val="af3"/>
    <w:uiPriority w:val="99"/>
    <w:semiHidden/>
    <w:unhideWhenUsed/>
    <w:rsid w:val="003830AE"/>
    <w:pPr>
      <w:spacing w:after="0"/>
    </w:pPr>
    <w:rPr>
      <w:rFonts w:ascii="Times New Roman" w:eastAsia="Times New Roman" w:hAnsi="Times New Roman"/>
      <w:b/>
      <w:bCs/>
      <w:lang w:eastAsia="ru-RU"/>
    </w:rPr>
  </w:style>
  <w:style w:type="character" w:customStyle="1" w:styleId="af3">
    <w:name w:val="Тема примечания Знак"/>
    <w:link w:val="af2"/>
    <w:uiPriority w:val="99"/>
    <w:semiHidden/>
    <w:rsid w:val="003830AE"/>
    <w:rPr>
      <w:rFonts w:ascii="Times New Roman" w:eastAsia="Times New Roman" w:hAnsi="Times New Roman"/>
      <w:b/>
      <w:bCs/>
      <w:lang w:eastAsia="en-US"/>
    </w:rPr>
  </w:style>
  <w:style w:type="paragraph" w:customStyle="1" w:styleId="Style9">
    <w:name w:val="Style9"/>
    <w:basedOn w:val="a3"/>
    <w:uiPriority w:val="99"/>
    <w:rsid w:val="009505F1"/>
    <w:pPr>
      <w:widowControl w:val="0"/>
      <w:autoSpaceDE w:val="0"/>
      <w:autoSpaceDN w:val="0"/>
      <w:adjustRightInd w:val="0"/>
      <w:spacing w:line="269" w:lineRule="exact"/>
      <w:ind w:firstLine="826"/>
      <w:jc w:val="both"/>
    </w:pPr>
    <w:rPr>
      <w:rFonts w:ascii="Franklin Gothic Demi Cond" w:hAnsi="Franklin Gothic Demi Cond"/>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3"/>
    <w:uiPriority w:val="99"/>
    <w:rsid w:val="00396B1A"/>
    <w:pPr>
      <w:widowControl w:val="0"/>
      <w:autoSpaceDE w:val="0"/>
      <w:autoSpaceDN w:val="0"/>
      <w:adjustRightInd w:val="0"/>
      <w:spacing w:line="261" w:lineRule="exact"/>
      <w:ind w:firstLine="662"/>
      <w:jc w:val="both"/>
    </w:pPr>
    <w:rPr>
      <w:rFonts w:ascii="Franklin Gothic Demi Cond" w:hAnsi="Franklin Gothic Demi Cond"/>
      <w:szCs w:val="24"/>
    </w:rPr>
  </w:style>
  <w:style w:type="paragraph" w:styleId="af4">
    <w:name w:val="header"/>
    <w:basedOn w:val="a3"/>
    <w:link w:val="af5"/>
    <w:uiPriority w:val="99"/>
    <w:unhideWhenUsed/>
    <w:rsid w:val="004A034C"/>
    <w:pPr>
      <w:tabs>
        <w:tab w:val="center" w:pos="4677"/>
        <w:tab w:val="right" w:pos="9355"/>
      </w:tabs>
    </w:pPr>
  </w:style>
  <w:style w:type="character" w:customStyle="1" w:styleId="af5">
    <w:name w:val="Верхний колонтитул Знак"/>
    <w:link w:val="af4"/>
    <w:uiPriority w:val="99"/>
    <w:rsid w:val="004A034C"/>
    <w:rPr>
      <w:rFonts w:ascii="Times New Roman" w:eastAsia="Times New Roman" w:hAnsi="Times New Roman"/>
    </w:rPr>
  </w:style>
  <w:style w:type="paragraph" w:styleId="af6">
    <w:name w:val="footer"/>
    <w:basedOn w:val="a3"/>
    <w:link w:val="af7"/>
    <w:uiPriority w:val="99"/>
    <w:unhideWhenUsed/>
    <w:rsid w:val="004A034C"/>
    <w:pPr>
      <w:tabs>
        <w:tab w:val="center" w:pos="4677"/>
        <w:tab w:val="right" w:pos="9355"/>
      </w:tabs>
    </w:pPr>
  </w:style>
  <w:style w:type="character" w:customStyle="1" w:styleId="af7">
    <w:name w:val="Нижний колонтитул Знак"/>
    <w:link w:val="af6"/>
    <w:uiPriority w:val="99"/>
    <w:rsid w:val="004A034C"/>
    <w:rPr>
      <w:rFonts w:ascii="Times New Roman" w:eastAsia="Times New Roman" w:hAnsi="Times New Roman"/>
    </w:rPr>
  </w:style>
  <w:style w:type="table" w:styleId="af8">
    <w:name w:val="Table Grid"/>
    <w:basedOn w:val="a5"/>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3"/>
    <w:uiPriority w:val="99"/>
    <w:rsid w:val="00E87227"/>
    <w:pPr>
      <w:ind w:left="720"/>
    </w:pPr>
  </w:style>
  <w:style w:type="paragraph" w:customStyle="1" w:styleId="13">
    <w:name w:val="1"/>
    <w:basedOn w:val="a3"/>
    <w:uiPriority w:val="99"/>
    <w:rsid w:val="00E25510"/>
    <w:pPr>
      <w:autoSpaceDN w:val="0"/>
    </w:pPr>
    <w:rPr>
      <w:szCs w:val="24"/>
    </w:rPr>
  </w:style>
  <w:style w:type="paragraph" w:styleId="af9">
    <w:name w:val="Plain Text"/>
    <w:basedOn w:val="a3"/>
    <w:link w:val="afa"/>
    <w:uiPriority w:val="99"/>
    <w:unhideWhenUsed/>
    <w:rsid w:val="001632DC"/>
    <w:rPr>
      <w:rFonts w:ascii="Calibri" w:eastAsia="Calibri" w:hAnsi="Calibri"/>
      <w:sz w:val="22"/>
      <w:szCs w:val="21"/>
      <w:lang w:eastAsia="en-US"/>
    </w:rPr>
  </w:style>
  <w:style w:type="character" w:customStyle="1" w:styleId="afa">
    <w:name w:val="Текст Знак"/>
    <w:link w:val="af9"/>
    <w:uiPriority w:val="99"/>
    <w:rsid w:val="001632DC"/>
    <w:rPr>
      <w:sz w:val="22"/>
      <w:szCs w:val="21"/>
      <w:lang w:eastAsia="en-US"/>
    </w:rPr>
  </w:style>
  <w:style w:type="paragraph" w:styleId="afb">
    <w:name w:val="Normal (Web)"/>
    <w:basedOn w:val="a3"/>
    <w:uiPriority w:val="99"/>
    <w:unhideWhenUsed/>
    <w:rsid w:val="00952AC8"/>
    <w:pPr>
      <w:spacing w:before="100" w:beforeAutospacing="1" w:after="100" w:afterAutospacing="1"/>
    </w:pPr>
    <w:rPr>
      <w:rFonts w:eastAsia="Calibri"/>
      <w:szCs w:val="24"/>
    </w:rPr>
  </w:style>
  <w:style w:type="paragraph" w:customStyle="1" w:styleId="Default">
    <w:name w:val="Default"/>
    <w:basedOn w:val="a3"/>
    <w:rsid w:val="00A051B7"/>
    <w:pPr>
      <w:autoSpaceDE w:val="0"/>
      <w:autoSpaceDN w:val="0"/>
    </w:pPr>
    <w:rPr>
      <w:rFonts w:eastAsia="Calibri"/>
      <w:color w:val="000000"/>
      <w:szCs w:val="24"/>
    </w:rPr>
  </w:style>
  <w:style w:type="paragraph" w:customStyle="1" w:styleId="afc">
    <w:name w:val="Часть"/>
    <w:basedOn w:val="a3"/>
    <w:link w:val="afd"/>
    <w:uiPriority w:val="99"/>
    <w:qFormat/>
    <w:rsid w:val="000A0EA6"/>
    <w:pPr>
      <w:keepNext/>
      <w:widowControl w:val="0"/>
      <w:spacing w:before="360" w:after="120"/>
      <w:ind w:left="360" w:hanging="360"/>
      <w:jc w:val="center"/>
    </w:pPr>
    <w:rPr>
      <w:rFonts w:eastAsia="Calibri"/>
      <w:b/>
      <w:bCs/>
      <w:szCs w:val="22"/>
      <w:lang w:eastAsia="en-US"/>
    </w:rPr>
  </w:style>
  <w:style w:type="character" w:customStyle="1" w:styleId="afd">
    <w:name w:val="Часть Знак"/>
    <w:link w:val="afc"/>
    <w:uiPriority w:val="99"/>
    <w:rsid w:val="000A0EA6"/>
    <w:rPr>
      <w:rFonts w:ascii="Times New Roman" w:hAnsi="Times New Roman"/>
      <w:b/>
      <w:bCs/>
      <w:sz w:val="24"/>
      <w:szCs w:val="22"/>
      <w:lang w:eastAsia="en-US"/>
    </w:rPr>
  </w:style>
  <w:style w:type="paragraph" w:styleId="afe">
    <w:name w:val="endnote text"/>
    <w:basedOn w:val="a3"/>
    <w:link w:val="aff"/>
    <w:uiPriority w:val="99"/>
    <w:semiHidden/>
    <w:unhideWhenUsed/>
    <w:rsid w:val="00F3099A"/>
  </w:style>
  <w:style w:type="character" w:customStyle="1" w:styleId="aff">
    <w:name w:val="Текст концевой сноски Знак"/>
    <w:link w:val="afe"/>
    <w:uiPriority w:val="99"/>
    <w:semiHidden/>
    <w:rsid w:val="00F3099A"/>
    <w:rPr>
      <w:rFonts w:ascii="Times New Roman" w:eastAsia="Times New Roman" w:hAnsi="Times New Roman"/>
    </w:rPr>
  </w:style>
  <w:style w:type="character" w:styleId="aff0">
    <w:name w:val="endnote reference"/>
    <w:uiPriority w:val="99"/>
    <w:semiHidden/>
    <w:unhideWhenUsed/>
    <w:rsid w:val="00F3099A"/>
    <w:rPr>
      <w:vertAlign w:val="superscript"/>
    </w:rPr>
  </w:style>
  <w:style w:type="paragraph" w:styleId="aff1">
    <w:name w:val="Revision"/>
    <w:hidden/>
    <w:uiPriority w:val="99"/>
    <w:semiHidden/>
    <w:rsid w:val="00032EEC"/>
    <w:rPr>
      <w:rFonts w:ascii="Times New Roman" w:eastAsia="Times New Roman" w:hAnsi="Times New Roman"/>
    </w:rPr>
  </w:style>
  <w:style w:type="character" w:styleId="aff2">
    <w:name w:val="Placeholder Text"/>
    <w:basedOn w:val="a4"/>
    <w:uiPriority w:val="99"/>
    <w:semiHidden/>
    <w:rsid w:val="008A1E74"/>
    <w:rPr>
      <w:color w:val="808080"/>
    </w:rPr>
  </w:style>
  <w:style w:type="paragraph" w:styleId="aff3">
    <w:name w:val="Body Text"/>
    <w:basedOn w:val="a3"/>
    <w:link w:val="aff4"/>
    <w:uiPriority w:val="99"/>
    <w:unhideWhenUsed/>
    <w:rsid w:val="000F312D"/>
    <w:pPr>
      <w:jc w:val="both"/>
    </w:pPr>
    <w:rPr>
      <w:szCs w:val="24"/>
    </w:rPr>
  </w:style>
  <w:style w:type="character" w:customStyle="1" w:styleId="aff4">
    <w:name w:val="Основной текст Знак"/>
    <w:basedOn w:val="a4"/>
    <w:link w:val="aff3"/>
    <w:uiPriority w:val="99"/>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4">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5">
    <w:name w:val="Intense Emphasis"/>
    <w:uiPriority w:val="21"/>
    <w:qFormat/>
    <w:rsid w:val="000F312D"/>
    <w:rPr>
      <w:b/>
      <w:bCs/>
      <w:i/>
      <w:iCs/>
      <w:color w:val="4F81BD"/>
    </w:rPr>
  </w:style>
  <w:style w:type="character" w:styleId="aff6">
    <w:name w:val="Emphasis"/>
    <w:uiPriority w:val="20"/>
    <w:qFormat/>
    <w:rsid w:val="000F312D"/>
    <w:rPr>
      <w:i/>
      <w:iCs/>
    </w:rPr>
  </w:style>
  <w:style w:type="character" w:styleId="aff7">
    <w:name w:val="FollowedHyperlink"/>
    <w:uiPriority w:val="99"/>
    <w:semiHidden/>
    <w:unhideWhenUsed/>
    <w:rsid w:val="000F312D"/>
    <w:rPr>
      <w:color w:val="800080"/>
      <w:u w:val="single"/>
    </w:rPr>
  </w:style>
  <w:style w:type="paragraph" w:styleId="21">
    <w:name w:val="Body Text 2"/>
    <w:basedOn w:val="a3"/>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4"/>
    <w:link w:val="21"/>
    <w:uiPriority w:val="99"/>
    <w:rsid w:val="000F312D"/>
    <w:rPr>
      <w:sz w:val="22"/>
      <w:szCs w:val="22"/>
      <w:lang w:eastAsia="en-US"/>
    </w:rPr>
  </w:style>
  <w:style w:type="paragraph" w:customStyle="1" w:styleId="aff8">
    <w:name w:val="Знак Знак Знак"/>
    <w:basedOn w:val="a3"/>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9">
    <w:name w:val="Знак"/>
    <w:basedOn w:val="a3"/>
    <w:uiPriority w:val="99"/>
    <w:rsid w:val="000F312D"/>
    <w:pPr>
      <w:spacing w:after="160" w:line="240" w:lineRule="exact"/>
    </w:pPr>
    <w:rPr>
      <w:rFonts w:ascii="Verdana" w:hAnsi="Verdana" w:cs="Verdana"/>
      <w:lang w:val="en-US" w:eastAsia="en-US"/>
    </w:rPr>
  </w:style>
  <w:style w:type="paragraph" w:styleId="31">
    <w:name w:val="Body Text 3"/>
    <w:basedOn w:val="a3"/>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4"/>
    <w:link w:val="31"/>
    <w:uiPriority w:val="99"/>
    <w:semiHidden/>
    <w:rsid w:val="000F312D"/>
    <w:rPr>
      <w:sz w:val="16"/>
      <w:szCs w:val="16"/>
      <w:lang w:eastAsia="en-US"/>
    </w:rPr>
  </w:style>
  <w:style w:type="paragraph" w:customStyle="1" w:styleId="TableParagraph">
    <w:name w:val="Table Paragraph"/>
    <w:basedOn w:val="a3"/>
    <w:uiPriority w:val="1"/>
    <w:qFormat/>
    <w:rsid w:val="005E1E23"/>
    <w:pPr>
      <w:widowControl w:val="0"/>
      <w:autoSpaceDE w:val="0"/>
      <w:autoSpaceDN w:val="0"/>
    </w:pPr>
    <w:rPr>
      <w:sz w:val="22"/>
      <w:szCs w:val="22"/>
      <w:lang w:eastAsia="en-US"/>
    </w:rPr>
  </w:style>
  <w:style w:type="table" w:customStyle="1" w:styleId="TableGrid">
    <w:name w:val="TableGrid"/>
    <w:rsid w:val="009F5BCD"/>
    <w:rPr>
      <w:rFonts w:eastAsia="Times New Roman"/>
      <w:sz w:val="22"/>
      <w:szCs w:val="22"/>
    </w:rPr>
    <w:tblPr>
      <w:tblCellMar>
        <w:top w:w="0" w:type="dxa"/>
        <w:left w:w="0" w:type="dxa"/>
        <w:bottom w:w="0" w:type="dxa"/>
        <w:right w:w="0" w:type="dxa"/>
      </w:tblCellMar>
    </w:tblPr>
  </w:style>
  <w:style w:type="paragraph" w:customStyle="1" w:styleId="footnotedescription">
    <w:name w:val="footnote description"/>
    <w:next w:val="a3"/>
    <w:link w:val="footnotedescriptionChar"/>
    <w:hidden/>
    <w:rsid w:val="009F5BCD"/>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9F5BCD"/>
    <w:rPr>
      <w:rFonts w:ascii="Times New Roman" w:eastAsia="Times New Roman" w:hAnsi="Times New Roman"/>
      <w:color w:val="000000"/>
      <w:szCs w:val="22"/>
    </w:rPr>
  </w:style>
  <w:style w:type="character" w:customStyle="1" w:styleId="footnotemark">
    <w:name w:val="footnote mark"/>
    <w:hidden/>
    <w:rsid w:val="009F5BCD"/>
    <w:rPr>
      <w:rFonts w:ascii="Times New Roman" w:eastAsia="Times New Roman" w:hAnsi="Times New Roman" w:cs="Times New Roman"/>
      <w:color w:val="000000"/>
      <w:sz w:val="20"/>
      <w:vertAlign w:val="superscript"/>
    </w:rPr>
  </w:style>
  <w:style w:type="table" w:customStyle="1" w:styleId="TableGrid1">
    <w:name w:val="TableGrid1"/>
    <w:rsid w:val="001E1A10"/>
    <w:rPr>
      <w:rFonts w:eastAsia="Times New Roman"/>
      <w:sz w:val="22"/>
      <w:szCs w:val="22"/>
    </w:rPr>
    <w:tblPr>
      <w:tblCellMar>
        <w:top w:w="0" w:type="dxa"/>
        <w:left w:w="0" w:type="dxa"/>
        <w:bottom w:w="0" w:type="dxa"/>
        <w:right w:w="0" w:type="dxa"/>
      </w:tblCellMar>
    </w:tblPr>
  </w:style>
  <w:style w:type="table" w:customStyle="1" w:styleId="TableGrid2">
    <w:name w:val="TableGrid2"/>
    <w:rsid w:val="00AC6698"/>
    <w:rPr>
      <w:rFonts w:eastAsia="Times New Roman"/>
      <w:sz w:val="22"/>
      <w:szCs w:val="22"/>
    </w:rPr>
    <w:tblPr>
      <w:tblCellMar>
        <w:top w:w="0" w:type="dxa"/>
        <w:left w:w="0" w:type="dxa"/>
        <w:bottom w:w="0" w:type="dxa"/>
        <w:right w:w="0" w:type="dxa"/>
      </w:tblCellMar>
    </w:tblPr>
  </w:style>
  <w:style w:type="table" w:customStyle="1" w:styleId="TableGrid3">
    <w:name w:val="TableGrid3"/>
    <w:rsid w:val="00EA21F0"/>
    <w:rPr>
      <w:rFonts w:eastAsia="Times New Roman"/>
      <w:sz w:val="22"/>
      <w:szCs w:val="22"/>
    </w:rPr>
    <w:tblPr>
      <w:tblCellMar>
        <w:top w:w="0" w:type="dxa"/>
        <w:left w:w="0" w:type="dxa"/>
        <w:bottom w:w="0" w:type="dxa"/>
        <w:right w:w="0" w:type="dxa"/>
      </w:tblCellMar>
    </w:tblPr>
  </w:style>
  <w:style w:type="table" w:customStyle="1" w:styleId="TableGrid4">
    <w:name w:val="TableGrid4"/>
    <w:rsid w:val="00EA21F0"/>
    <w:rPr>
      <w:rFonts w:eastAsia="Times New Roman"/>
      <w:sz w:val="22"/>
      <w:szCs w:val="22"/>
    </w:rPr>
    <w:tblPr>
      <w:tblCellMar>
        <w:top w:w="0" w:type="dxa"/>
        <w:left w:w="0" w:type="dxa"/>
        <w:bottom w:w="0" w:type="dxa"/>
        <w:right w:w="0" w:type="dxa"/>
      </w:tblCellMar>
    </w:tblPr>
  </w:style>
  <w:style w:type="paragraph" w:styleId="affa">
    <w:name w:val="TOC Heading"/>
    <w:basedOn w:val="10"/>
    <w:next w:val="a3"/>
    <w:uiPriority w:val="39"/>
    <w:unhideWhenUsed/>
    <w:qFormat/>
    <w:rsid w:val="00DF7B1B"/>
    <w:pPr>
      <w:keepLines/>
      <w:numPr>
        <w:numId w:val="0"/>
      </w:numPr>
      <w:spacing w:before="480" w:after="0" w:line="276" w:lineRule="auto"/>
      <w:ind w:right="0"/>
      <w:outlineLvl w:val="9"/>
    </w:pPr>
    <w:rPr>
      <w:rFonts w:asciiTheme="majorHAnsi" w:eastAsiaTheme="majorEastAsia" w:hAnsiTheme="majorHAnsi" w:cstheme="majorBidi"/>
      <w:b/>
      <w:bCs/>
      <w:color w:val="365F91" w:themeColor="accent1" w:themeShade="BF"/>
      <w:kern w:val="0"/>
      <w:sz w:val="28"/>
      <w:szCs w:val="28"/>
    </w:rPr>
  </w:style>
  <w:style w:type="paragraph" w:styleId="15">
    <w:name w:val="toc 1"/>
    <w:basedOn w:val="a3"/>
    <w:next w:val="a3"/>
    <w:autoRedefine/>
    <w:uiPriority w:val="39"/>
    <w:unhideWhenUsed/>
    <w:qFormat/>
    <w:rsid w:val="004549A8"/>
    <w:pPr>
      <w:tabs>
        <w:tab w:val="left" w:pos="480"/>
        <w:tab w:val="right" w:leader="dot" w:pos="9287"/>
      </w:tabs>
    </w:pPr>
    <w:rPr>
      <w:bCs/>
      <w:szCs w:val="24"/>
    </w:rPr>
  </w:style>
  <w:style w:type="paragraph" w:styleId="23">
    <w:name w:val="toc 2"/>
    <w:basedOn w:val="a3"/>
    <w:next w:val="a3"/>
    <w:autoRedefine/>
    <w:uiPriority w:val="39"/>
    <w:unhideWhenUsed/>
    <w:qFormat/>
    <w:rsid w:val="004549A8"/>
    <w:pPr>
      <w:ind w:firstLine="227"/>
    </w:pPr>
    <w:rPr>
      <w:bCs/>
      <w:sz w:val="20"/>
    </w:rPr>
  </w:style>
  <w:style w:type="paragraph" w:customStyle="1" w:styleId="a0">
    <w:name w:val="Обычный нумерованый"/>
    <w:basedOn w:val="a7"/>
    <w:link w:val="affb"/>
    <w:rsid w:val="00151DAC"/>
    <w:pPr>
      <w:numPr>
        <w:ilvl w:val="1"/>
        <w:numId w:val="16"/>
      </w:numPr>
      <w:spacing w:after="0"/>
    </w:pPr>
    <w:rPr>
      <w:rFonts w:ascii="Times New Roman" w:hAnsi="Times New Roman"/>
      <w:sz w:val="24"/>
      <w:szCs w:val="24"/>
    </w:rPr>
  </w:style>
  <w:style w:type="character" w:customStyle="1" w:styleId="affb">
    <w:name w:val="Обычный нумерованый Знак"/>
    <w:basedOn w:val="a8"/>
    <w:link w:val="a0"/>
    <w:rsid w:val="00151DAC"/>
    <w:rPr>
      <w:rFonts w:ascii="Times New Roman" w:hAnsi="Times New Roman"/>
      <w:sz w:val="24"/>
      <w:szCs w:val="24"/>
      <w:lang w:eastAsia="en-US"/>
    </w:rPr>
  </w:style>
  <w:style w:type="paragraph" w:customStyle="1" w:styleId="a1">
    <w:name w:val="Обычный нумер"/>
    <w:basedOn w:val="a7"/>
    <w:link w:val="affc"/>
    <w:qFormat/>
    <w:rsid w:val="001E75BD"/>
    <w:pPr>
      <w:numPr>
        <w:ilvl w:val="1"/>
        <w:numId w:val="2"/>
      </w:numPr>
      <w:autoSpaceDE w:val="0"/>
      <w:autoSpaceDN w:val="0"/>
      <w:adjustRightInd w:val="0"/>
      <w:spacing w:after="0" w:line="240" w:lineRule="auto"/>
      <w:jc w:val="both"/>
    </w:pPr>
    <w:rPr>
      <w:rFonts w:ascii="Times New Roman" w:hAnsi="Times New Roman"/>
      <w:sz w:val="24"/>
      <w:szCs w:val="24"/>
    </w:rPr>
  </w:style>
  <w:style w:type="character" w:customStyle="1" w:styleId="affc">
    <w:name w:val="Обычный нумер Знак"/>
    <w:basedOn w:val="a8"/>
    <w:link w:val="a1"/>
    <w:rsid w:val="001E75BD"/>
    <w:rPr>
      <w:rFonts w:ascii="Times New Roman" w:hAnsi="Times New Roman"/>
      <w:sz w:val="24"/>
      <w:szCs w:val="24"/>
      <w:lang w:eastAsia="en-US"/>
    </w:rPr>
  </w:style>
  <w:style w:type="paragraph" w:customStyle="1" w:styleId="16">
    <w:name w:val="Заголовок 1 нум"/>
    <w:basedOn w:val="10"/>
    <w:link w:val="17"/>
    <w:qFormat/>
    <w:rsid w:val="001E75BD"/>
    <w:pPr>
      <w:spacing w:before="120"/>
    </w:pPr>
    <w:rPr>
      <w:b/>
    </w:rPr>
  </w:style>
  <w:style w:type="character" w:customStyle="1" w:styleId="17">
    <w:name w:val="Заголовок 1 нум Знак"/>
    <w:basedOn w:val="11"/>
    <w:link w:val="16"/>
    <w:rsid w:val="001E75BD"/>
    <w:rPr>
      <w:rFonts w:ascii="Times New Roman CYR" w:eastAsia="Times New Roman" w:hAnsi="Times New Roman CYR" w:cs="Times New Roman CYR"/>
      <w:b/>
      <w:kern w:val="28"/>
      <w:sz w:val="24"/>
      <w:szCs w:val="24"/>
    </w:rPr>
  </w:style>
  <w:style w:type="paragraph" w:styleId="33">
    <w:name w:val="toc 3"/>
    <w:basedOn w:val="a3"/>
    <w:next w:val="a3"/>
    <w:autoRedefine/>
    <w:uiPriority w:val="39"/>
    <w:unhideWhenUsed/>
    <w:qFormat/>
    <w:rsid w:val="00DE32AD"/>
    <w:pPr>
      <w:ind w:left="454"/>
    </w:pPr>
    <w:rPr>
      <w:sz w:val="16"/>
    </w:rPr>
  </w:style>
  <w:style w:type="paragraph" w:customStyle="1" w:styleId="affd">
    <w:name w:val="Заголовлк Приложения"/>
    <w:basedOn w:val="10"/>
    <w:link w:val="affe"/>
    <w:qFormat/>
    <w:rsid w:val="008F0C8D"/>
    <w:pPr>
      <w:numPr>
        <w:numId w:val="0"/>
      </w:numPr>
      <w:jc w:val="right"/>
    </w:pPr>
    <w:rPr>
      <w:b/>
    </w:rPr>
  </w:style>
  <w:style w:type="character" w:customStyle="1" w:styleId="affe">
    <w:name w:val="Заголовлк Приложения Знак"/>
    <w:basedOn w:val="11"/>
    <w:link w:val="affd"/>
    <w:rsid w:val="008F0C8D"/>
    <w:rPr>
      <w:rFonts w:ascii="Times New Roman CYR" w:eastAsia="Times New Roman" w:hAnsi="Times New Roman CYR" w:cs="Times New Roman CYR"/>
      <w:b/>
      <w:kern w:val="28"/>
      <w:sz w:val="24"/>
      <w:szCs w:val="24"/>
    </w:rPr>
  </w:style>
  <w:style w:type="paragraph" w:styleId="41">
    <w:name w:val="toc 4"/>
    <w:basedOn w:val="a3"/>
    <w:next w:val="a3"/>
    <w:autoRedefine/>
    <w:uiPriority w:val="39"/>
    <w:unhideWhenUsed/>
    <w:rsid w:val="008F0C8D"/>
    <w:pPr>
      <w:ind w:left="480"/>
    </w:pPr>
    <w:rPr>
      <w:rFonts w:asciiTheme="minorHAnsi" w:hAnsiTheme="minorHAnsi"/>
      <w:sz w:val="20"/>
    </w:rPr>
  </w:style>
  <w:style w:type="paragraph" w:styleId="91">
    <w:name w:val="toc 9"/>
    <w:basedOn w:val="a3"/>
    <w:next w:val="a3"/>
    <w:autoRedefine/>
    <w:uiPriority w:val="39"/>
    <w:unhideWhenUsed/>
    <w:rsid w:val="008F0C8D"/>
    <w:pPr>
      <w:ind w:left="1680"/>
    </w:pPr>
    <w:rPr>
      <w:rFonts w:asciiTheme="minorHAnsi" w:hAnsiTheme="minorHAnsi"/>
      <w:sz w:val="20"/>
    </w:rPr>
  </w:style>
  <w:style w:type="paragraph" w:styleId="51">
    <w:name w:val="toc 5"/>
    <w:basedOn w:val="a3"/>
    <w:next w:val="a3"/>
    <w:autoRedefine/>
    <w:uiPriority w:val="39"/>
    <w:unhideWhenUsed/>
    <w:rsid w:val="008F0C8D"/>
    <w:pPr>
      <w:ind w:left="720"/>
    </w:pPr>
    <w:rPr>
      <w:rFonts w:asciiTheme="minorHAnsi" w:hAnsiTheme="minorHAnsi"/>
      <w:sz w:val="20"/>
    </w:rPr>
  </w:style>
  <w:style w:type="paragraph" w:styleId="61">
    <w:name w:val="toc 6"/>
    <w:basedOn w:val="a3"/>
    <w:next w:val="a3"/>
    <w:autoRedefine/>
    <w:uiPriority w:val="39"/>
    <w:unhideWhenUsed/>
    <w:rsid w:val="008F0C8D"/>
    <w:pPr>
      <w:ind w:left="960"/>
    </w:pPr>
    <w:rPr>
      <w:rFonts w:asciiTheme="minorHAnsi" w:hAnsiTheme="minorHAnsi"/>
      <w:sz w:val="20"/>
    </w:rPr>
  </w:style>
  <w:style w:type="paragraph" w:styleId="71">
    <w:name w:val="toc 7"/>
    <w:basedOn w:val="a3"/>
    <w:next w:val="a3"/>
    <w:autoRedefine/>
    <w:uiPriority w:val="39"/>
    <w:unhideWhenUsed/>
    <w:rsid w:val="008F0C8D"/>
    <w:pPr>
      <w:ind w:left="1200"/>
    </w:pPr>
    <w:rPr>
      <w:rFonts w:asciiTheme="minorHAnsi" w:hAnsiTheme="minorHAnsi"/>
      <w:sz w:val="20"/>
    </w:rPr>
  </w:style>
  <w:style w:type="paragraph" w:styleId="81">
    <w:name w:val="toc 8"/>
    <w:basedOn w:val="a3"/>
    <w:next w:val="a3"/>
    <w:autoRedefine/>
    <w:uiPriority w:val="39"/>
    <w:unhideWhenUsed/>
    <w:rsid w:val="008F0C8D"/>
    <w:pPr>
      <w:ind w:left="1440"/>
    </w:pPr>
    <w:rPr>
      <w:rFonts w:asciiTheme="minorHAnsi" w:hAnsiTheme="minorHAnsi"/>
      <w:sz w:val="20"/>
    </w:rPr>
  </w:style>
  <w:style w:type="paragraph" w:customStyle="1" w:styleId="18">
    <w:name w:val="Раздел 1"/>
    <w:basedOn w:val="a7"/>
    <w:uiPriority w:val="99"/>
    <w:qFormat/>
    <w:rsid w:val="0036714A"/>
    <w:pPr>
      <w:keepNext/>
      <w:spacing w:before="240" w:after="0" w:line="240" w:lineRule="auto"/>
      <w:ind w:left="964" w:hanging="680"/>
      <w:jc w:val="both"/>
    </w:pPr>
    <w:rPr>
      <w:rFonts w:ascii="Times New Roman" w:hAnsi="Times New Roman"/>
      <w:b/>
      <w:sz w:val="20"/>
      <w:szCs w:val="20"/>
    </w:rPr>
  </w:style>
  <w:style w:type="paragraph" w:customStyle="1" w:styleId="24">
    <w:name w:val="Раздел 2"/>
    <w:basedOn w:val="18"/>
    <w:link w:val="210"/>
    <w:uiPriority w:val="99"/>
    <w:qFormat/>
    <w:rsid w:val="0036714A"/>
    <w:pPr>
      <w:spacing w:before="120"/>
      <w:ind w:left="1214" w:hanging="504"/>
    </w:pPr>
  </w:style>
  <w:style w:type="character" w:customStyle="1" w:styleId="210">
    <w:name w:val="Раздел 2 Знак1"/>
    <w:basedOn w:val="a4"/>
    <w:link w:val="24"/>
    <w:uiPriority w:val="99"/>
    <w:locked/>
    <w:rsid w:val="00856924"/>
    <w:rPr>
      <w:rFonts w:ascii="Times New Roman" w:hAnsi="Times New Roman"/>
      <w:b/>
      <w:lang w:eastAsia="en-US"/>
    </w:rPr>
  </w:style>
  <w:style w:type="paragraph" w:customStyle="1" w:styleId="34">
    <w:name w:val="Раздел 3"/>
    <w:basedOn w:val="24"/>
    <w:link w:val="310"/>
    <w:uiPriority w:val="99"/>
    <w:qFormat/>
    <w:rsid w:val="0036714A"/>
    <w:pPr>
      <w:ind w:left="2323" w:hanging="621"/>
    </w:pPr>
  </w:style>
  <w:style w:type="character" w:customStyle="1" w:styleId="310">
    <w:name w:val="Раздел 3 Знак1"/>
    <w:basedOn w:val="a4"/>
    <w:link w:val="34"/>
    <w:uiPriority w:val="99"/>
    <w:locked/>
    <w:rsid w:val="00856924"/>
    <w:rPr>
      <w:rFonts w:ascii="Times New Roman" w:hAnsi="Times New Roman"/>
      <w:b/>
      <w:lang w:eastAsia="en-US"/>
    </w:rPr>
  </w:style>
  <w:style w:type="paragraph" w:customStyle="1" w:styleId="42">
    <w:name w:val="Раздел 4"/>
    <w:basedOn w:val="34"/>
    <w:link w:val="43"/>
    <w:uiPriority w:val="99"/>
    <w:qFormat/>
    <w:rsid w:val="0036714A"/>
    <w:pPr>
      <w:ind w:left="829" w:hanging="545"/>
    </w:pPr>
    <w:rPr>
      <w:i/>
    </w:rPr>
  </w:style>
  <w:style w:type="character" w:customStyle="1" w:styleId="43">
    <w:name w:val="Раздел 4 Знак"/>
    <w:link w:val="42"/>
    <w:uiPriority w:val="99"/>
    <w:locked/>
    <w:rsid w:val="00856924"/>
    <w:rPr>
      <w:rFonts w:ascii="Times New Roman" w:hAnsi="Times New Roman"/>
      <w:b/>
      <w:i/>
      <w:lang w:eastAsia="en-US"/>
    </w:rPr>
  </w:style>
  <w:style w:type="character" w:customStyle="1" w:styleId="25">
    <w:name w:val="Основной текст (2)"/>
    <w:basedOn w:val="a4"/>
    <w:rsid w:val="00297DF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1">
    <w:name w:val="Стиль1"/>
    <w:basedOn w:val="2"/>
    <w:qFormat/>
    <w:rsid w:val="00CA1CC4"/>
    <w:pPr>
      <w:numPr>
        <w:numId w:val="22"/>
      </w:numPr>
      <w:spacing w:after="100"/>
      <w:ind w:left="0" w:firstLine="0"/>
      <w:contextualSpacing/>
      <w:mirrorIndents/>
    </w:pPr>
    <w:rPr>
      <w:i/>
      <w:color w:val="365F91" w:themeColor="accent1" w:themeShade="BF"/>
      <w:sz w:val="32"/>
    </w:rPr>
  </w:style>
  <w:style w:type="paragraph" w:customStyle="1" w:styleId="afff">
    <w:name w:val="подзаголовокк"/>
    <w:basedOn w:val="2"/>
    <w:link w:val="afff0"/>
    <w:qFormat/>
    <w:rsid w:val="00CA1CC4"/>
    <w:pPr>
      <w:keepLines/>
      <w:numPr>
        <w:ilvl w:val="1"/>
      </w:numPr>
      <w:autoSpaceDE w:val="0"/>
      <w:autoSpaceDN w:val="0"/>
      <w:adjustRightInd w:val="0"/>
      <w:spacing w:after="100"/>
      <w:ind w:left="3828" w:hanging="360"/>
      <w:mirrorIndents/>
      <w:jc w:val="right"/>
    </w:pPr>
    <w:rPr>
      <w:rFonts w:eastAsiaTheme="majorEastAsia"/>
    </w:rPr>
  </w:style>
  <w:style w:type="character" w:customStyle="1" w:styleId="afff0">
    <w:name w:val="подзаголовокк Знак"/>
    <w:basedOn w:val="20"/>
    <w:link w:val="afff"/>
    <w:rsid w:val="00CA1CC4"/>
    <w:rPr>
      <w:rFonts w:ascii="Times New Roman" w:eastAsiaTheme="majorEastAsia" w:hAnsi="Times New Roman" w:cs="Arial"/>
      <w:b/>
      <w:bCs/>
      <w:iCs/>
      <w:sz w:val="24"/>
      <w:szCs w:val="24"/>
    </w:rPr>
  </w:style>
  <w:style w:type="character" w:customStyle="1" w:styleId="26">
    <w:name w:val="Колонтитул (2)_"/>
    <w:basedOn w:val="a4"/>
    <w:link w:val="27"/>
    <w:rsid w:val="006E1A11"/>
    <w:rPr>
      <w:rFonts w:ascii="Times New Roman" w:eastAsia="Times New Roman" w:hAnsi="Times New Roman"/>
      <w:b/>
      <w:bCs/>
      <w:sz w:val="19"/>
      <w:szCs w:val="19"/>
      <w:shd w:val="clear" w:color="auto" w:fill="FFFFFF"/>
    </w:rPr>
  </w:style>
  <w:style w:type="paragraph" w:customStyle="1" w:styleId="27">
    <w:name w:val="Колонтитул (2)"/>
    <w:basedOn w:val="a3"/>
    <w:link w:val="26"/>
    <w:rsid w:val="006E1A11"/>
    <w:pPr>
      <w:widowControl w:val="0"/>
      <w:shd w:val="clear" w:color="auto" w:fill="FFFFFF"/>
      <w:spacing w:line="0" w:lineRule="atLeast"/>
    </w:pPr>
    <w:rPr>
      <w:b/>
      <w:bCs/>
      <w:sz w:val="19"/>
      <w:szCs w:val="19"/>
    </w:rPr>
  </w:style>
  <w:style w:type="paragraph" w:customStyle="1" w:styleId="afff1">
    <w:name w:val="Таблица"/>
    <w:basedOn w:val="21"/>
    <w:uiPriority w:val="99"/>
    <w:rsid w:val="00856924"/>
    <w:pPr>
      <w:suppressAutoHyphens/>
      <w:autoSpaceDE w:val="0"/>
      <w:autoSpaceDN w:val="0"/>
      <w:adjustRightInd w:val="0"/>
      <w:spacing w:before="40" w:after="40" w:line="240" w:lineRule="auto"/>
      <w:ind w:left="57" w:right="57"/>
    </w:pPr>
    <w:rPr>
      <w:rFonts w:ascii="Times New Roman" w:eastAsia="Times New Roman" w:hAnsi="Times New Roman"/>
      <w:iCs/>
      <w:color w:val="000000"/>
      <w:sz w:val="18"/>
      <w:szCs w:val="18"/>
      <w:lang w:eastAsia="ru-RU"/>
    </w:rPr>
  </w:style>
  <w:style w:type="paragraph" w:customStyle="1" w:styleId="-0">
    <w:name w:val="Таб-заг"/>
    <w:basedOn w:val="a3"/>
    <w:uiPriority w:val="99"/>
    <w:qFormat/>
    <w:rsid w:val="00856924"/>
    <w:pPr>
      <w:keepNext/>
      <w:keepLines/>
      <w:widowControl w:val="0"/>
      <w:tabs>
        <w:tab w:val="left" w:pos="708"/>
      </w:tabs>
      <w:autoSpaceDE w:val="0"/>
      <w:autoSpaceDN w:val="0"/>
      <w:adjustRightInd w:val="0"/>
      <w:spacing w:before="120" w:after="120"/>
      <w:ind w:left="-28" w:firstLine="28"/>
      <w:jc w:val="center"/>
    </w:pPr>
    <w:rPr>
      <w:color w:val="FFFFFF"/>
      <w:sz w:val="18"/>
      <w:szCs w:val="18"/>
    </w:rPr>
  </w:style>
  <w:style w:type="paragraph" w:customStyle="1" w:styleId="-">
    <w:name w:val="Таб-марк"/>
    <w:basedOn w:val="afff1"/>
    <w:uiPriority w:val="99"/>
    <w:qFormat/>
    <w:rsid w:val="00856924"/>
    <w:pPr>
      <w:numPr>
        <w:numId w:val="26"/>
      </w:numPr>
      <w:tabs>
        <w:tab w:val="num" w:pos="360"/>
      </w:tabs>
      <w:ind w:left="57" w:firstLine="0"/>
      <w:contextualSpacing/>
    </w:pPr>
  </w:style>
  <w:style w:type="paragraph" w:styleId="afff2">
    <w:name w:val="caption"/>
    <w:basedOn w:val="a3"/>
    <w:next w:val="a3"/>
    <w:uiPriority w:val="35"/>
    <w:unhideWhenUsed/>
    <w:qFormat/>
    <w:rsid w:val="00856924"/>
    <w:pPr>
      <w:autoSpaceDE w:val="0"/>
      <w:autoSpaceDN w:val="0"/>
      <w:adjustRightInd w:val="0"/>
      <w:spacing w:before="60" w:after="200"/>
      <w:ind w:firstLine="709"/>
      <w:jc w:val="right"/>
    </w:pPr>
    <w:rPr>
      <w:i/>
      <w:iCs/>
      <w:sz w:val="22"/>
      <w:szCs w:val="18"/>
      <w:lang w:eastAsia="en-US"/>
    </w:rPr>
  </w:style>
  <w:style w:type="paragraph" w:customStyle="1" w:styleId="-1">
    <w:name w:val="Таб-столбец"/>
    <w:uiPriority w:val="99"/>
    <w:qFormat/>
    <w:rsid w:val="00856924"/>
    <w:rPr>
      <w:rFonts w:ascii="Times New Roman" w:eastAsia="Times New Roman" w:hAnsi="Times New Roman"/>
      <w:b/>
      <w:bCs/>
      <w:color w:val="FFFFFF"/>
      <w:sz w:val="18"/>
      <w:szCs w:val="18"/>
    </w:rPr>
  </w:style>
  <w:style w:type="paragraph" w:customStyle="1" w:styleId="a">
    <w:name w:val="Список с буллитом"/>
    <w:basedOn w:val="a3"/>
    <w:uiPriority w:val="99"/>
    <w:qFormat/>
    <w:rsid w:val="00856924"/>
    <w:pPr>
      <w:widowControl w:val="0"/>
      <w:numPr>
        <w:numId w:val="27"/>
      </w:numPr>
      <w:spacing w:line="360" w:lineRule="auto"/>
      <w:contextualSpacing/>
      <w:jc w:val="both"/>
    </w:pPr>
    <w:rPr>
      <w:rFonts w:ascii="Verdana" w:hAnsi="Verdana"/>
      <w:sz w:val="22"/>
      <w:szCs w:val="22"/>
      <w:lang w:eastAsia="en-US"/>
    </w:rPr>
  </w:style>
  <w:style w:type="paragraph" w:customStyle="1" w:styleId="-2">
    <w:name w:val="ЗАГ-таб"/>
    <w:basedOn w:val="31"/>
    <w:uiPriority w:val="99"/>
    <w:qFormat/>
    <w:rsid w:val="00856924"/>
    <w:pPr>
      <w:autoSpaceDE w:val="0"/>
      <w:autoSpaceDN w:val="0"/>
      <w:adjustRightInd w:val="0"/>
      <w:spacing w:before="120" w:line="240" w:lineRule="auto"/>
      <w:ind w:firstLine="709"/>
      <w:jc w:val="center"/>
    </w:pPr>
    <w:rPr>
      <w:rFonts w:ascii="Arial Narrow" w:eastAsia="Times New Roman" w:hAnsi="Arial Narrow"/>
      <w:b/>
      <w:bCs/>
      <w:sz w:val="22"/>
      <w:szCs w:val="22"/>
    </w:rPr>
  </w:style>
  <w:style w:type="paragraph" w:styleId="afff3">
    <w:name w:val="Subtitle"/>
    <w:basedOn w:val="a3"/>
    <w:link w:val="afff4"/>
    <w:uiPriority w:val="99"/>
    <w:qFormat/>
    <w:rsid w:val="00856924"/>
    <w:pPr>
      <w:keepNext/>
      <w:keepLines/>
      <w:widowControl w:val="0"/>
      <w:tabs>
        <w:tab w:val="left" w:pos="0"/>
      </w:tabs>
      <w:autoSpaceDE w:val="0"/>
      <w:autoSpaceDN w:val="0"/>
      <w:adjustRightInd w:val="0"/>
      <w:spacing w:before="120" w:after="120"/>
      <w:ind w:firstLine="709"/>
      <w:outlineLvl w:val="1"/>
    </w:pPr>
    <w:rPr>
      <w:b/>
      <w:i/>
      <w:sz w:val="22"/>
      <w:szCs w:val="24"/>
    </w:rPr>
  </w:style>
  <w:style w:type="character" w:customStyle="1" w:styleId="afff4">
    <w:name w:val="Подзаголовок Знак"/>
    <w:basedOn w:val="a4"/>
    <w:link w:val="afff3"/>
    <w:uiPriority w:val="99"/>
    <w:rsid w:val="00856924"/>
    <w:rPr>
      <w:rFonts w:ascii="Times New Roman" w:eastAsia="Times New Roman" w:hAnsi="Times New Roman"/>
      <w:b/>
      <w:i/>
      <w:sz w:val="22"/>
      <w:szCs w:val="24"/>
    </w:rPr>
  </w:style>
  <w:style w:type="paragraph" w:customStyle="1" w:styleId="afff5">
    <w:name w:val="Название приложения"/>
    <w:basedOn w:val="10"/>
    <w:uiPriority w:val="99"/>
    <w:qFormat/>
    <w:rsid w:val="00856924"/>
    <w:pPr>
      <w:keepLines/>
      <w:numPr>
        <w:numId w:val="0"/>
      </w:numPr>
      <w:autoSpaceDE w:val="0"/>
      <w:autoSpaceDN w:val="0"/>
      <w:adjustRightInd w:val="0"/>
      <w:spacing w:after="240"/>
      <w:ind w:right="0"/>
      <w:jc w:val="center"/>
    </w:pPr>
    <w:rPr>
      <w:rFonts w:ascii="Times New Roman" w:hAnsi="Times New Roman" w:cs="Times New Roman"/>
      <w:b/>
      <w:bCs/>
      <w:iCs/>
      <w:smallCaps/>
      <w:spacing w:val="6"/>
      <w:kern w:val="32"/>
      <w:sz w:val="22"/>
    </w:rPr>
  </w:style>
  <w:style w:type="character" w:customStyle="1" w:styleId="s12">
    <w:name w:val="s12"/>
    <w:basedOn w:val="a4"/>
    <w:rsid w:val="00856924"/>
    <w:rPr>
      <w:rFonts w:cs="Times New Roman"/>
    </w:rPr>
  </w:style>
  <w:style w:type="character" w:customStyle="1" w:styleId="bumpedfont15">
    <w:name w:val="bumpedfont15"/>
    <w:basedOn w:val="a4"/>
    <w:rsid w:val="00856924"/>
    <w:rPr>
      <w:rFonts w:cs="Times New Roman"/>
    </w:rPr>
  </w:style>
  <w:style w:type="character" w:styleId="afff6">
    <w:name w:val="Strong"/>
    <w:basedOn w:val="a4"/>
    <w:uiPriority w:val="22"/>
    <w:qFormat/>
    <w:rsid w:val="00856924"/>
    <w:rPr>
      <w:b/>
    </w:rPr>
  </w:style>
  <w:style w:type="paragraph" w:customStyle="1" w:styleId="19">
    <w:name w:val="Стиль Заголовок 1 + По ширине"/>
    <w:basedOn w:val="10"/>
    <w:uiPriority w:val="99"/>
    <w:rsid w:val="00856924"/>
    <w:pPr>
      <w:keepLines/>
      <w:pageBreakBefore/>
      <w:suppressLineNumbers/>
      <w:spacing w:before="240"/>
      <w:ind w:right="0"/>
      <w:jc w:val="both"/>
    </w:pPr>
    <w:rPr>
      <w:rFonts w:ascii="Times New Roman" w:hAnsi="Times New Roman" w:cs="Times New Roman"/>
      <w:b/>
      <w:bCs/>
      <w:caps/>
      <w:kern w:val="0"/>
      <w:sz w:val="27"/>
      <w:szCs w:val="20"/>
    </w:rPr>
  </w:style>
  <w:style w:type="paragraph" w:customStyle="1" w:styleId="ConsTitle">
    <w:name w:val="ConsTitle"/>
    <w:uiPriority w:val="99"/>
    <w:rsid w:val="00856924"/>
    <w:pPr>
      <w:widowControl w:val="0"/>
      <w:suppressAutoHyphens/>
    </w:pPr>
    <w:rPr>
      <w:rFonts w:ascii="Arial" w:eastAsia="Times New Roman" w:hAnsi="Arial" w:cs="Arial"/>
      <w:b/>
      <w:bCs/>
      <w:sz w:val="16"/>
      <w:szCs w:val="16"/>
      <w:lang w:eastAsia="ar-SA"/>
    </w:rPr>
  </w:style>
  <w:style w:type="paragraph" w:styleId="afff7">
    <w:name w:val="No Spacing"/>
    <w:uiPriority w:val="1"/>
    <w:qFormat/>
    <w:rsid w:val="00856924"/>
    <w:pPr>
      <w:jc w:val="both"/>
    </w:pPr>
    <w:rPr>
      <w:rFonts w:ascii="Times New Roman" w:eastAsia="Times New Roman" w:hAnsi="Times New Roman"/>
      <w:lang w:eastAsia="en-US"/>
    </w:rPr>
  </w:style>
  <w:style w:type="paragraph" w:styleId="a2">
    <w:name w:val="List Bullet"/>
    <w:basedOn w:val="a3"/>
    <w:uiPriority w:val="99"/>
    <w:unhideWhenUsed/>
    <w:qFormat/>
    <w:rsid w:val="00856924"/>
    <w:pPr>
      <w:numPr>
        <w:numId w:val="28"/>
      </w:numPr>
      <w:autoSpaceDE w:val="0"/>
      <w:autoSpaceDN w:val="0"/>
      <w:adjustRightInd w:val="0"/>
      <w:spacing w:before="60"/>
      <w:contextualSpacing/>
      <w:jc w:val="both"/>
    </w:pPr>
    <w:rPr>
      <w:sz w:val="20"/>
      <w:szCs w:val="22"/>
      <w:lang w:eastAsia="en-US"/>
    </w:rPr>
  </w:style>
  <w:style w:type="paragraph" w:customStyle="1" w:styleId="msonormal0">
    <w:name w:val="msonormal"/>
    <w:basedOn w:val="a3"/>
    <w:rsid w:val="00BC4B74"/>
    <w:pPr>
      <w:spacing w:before="100" w:beforeAutospacing="1" w:after="100" w:afterAutospacing="1"/>
    </w:pPr>
    <w:rPr>
      <w:szCs w:val="24"/>
    </w:rPr>
  </w:style>
  <w:style w:type="character" w:customStyle="1" w:styleId="commentcontent">
    <w:name w:val="commentcontent"/>
    <w:basedOn w:val="a4"/>
    <w:rsid w:val="00BC4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0699">
      <w:bodyDiv w:val="1"/>
      <w:marLeft w:val="0"/>
      <w:marRight w:val="0"/>
      <w:marTop w:val="0"/>
      <w:marBottom w:val="0"/>
      <w:divBdr>
        <w:top w:val="none" w:sz="0" w:space="0" w:color="auto"/>
        <w:left w:val="none" w:sz="0" w:space="0" w:color="auto"/>
        <w:bottom w:val="none" w:sz="0" w:space="0" w:color="auto"/>
        <w:right w:val="none" w:sz="0" w:space="0" w:color="auto"/>
      </w:divBdr>
    </w:div>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37917321">
      <w:bodyDiv w:val="1"/>
      <w:marLeft w:val="0"/>
      <w:marRight w:val="0"/>
      <w:marTop w:val="0"/>
      <w:marBottom w:val="0"/>
      <w:divBdr>
        <w:top w:val="none" w:sz="0" w:space="0" w:color="auto"/>
        <w:left w:val="none" w:sz="0" w:space="0" w:color="auto"/>
        <w:bottom w:val="none" w:sz="0" w:space="0" w:color="auto"/>
        <w:right w:val="none" w:sz="0" w:space="0" w:color="auto"/>
      </w:divBdr>
    </w:div>
    <w:div w:id="167407151">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367031762">
      <w:bodyDiv w:val="1"/>
      <w:marLeft w:val="0"/>
      <w:marRight w:val="0"/>
      <w:marTop w:val="0"/>
      <w:marBottom w:val="0"/>
      <w:divBdr>
        <w:top w:val="none" w:sz="0" w:space="0" w:color="auto"/>
        <w:left w:val="none" w:sz="0" w:space="0" w:color="auto"/>
        <w:bottom w:val="none" w:sz="0" w:space="0" w:color="auto"/>
        <w:right w:val="none" w:sz="0" w:space="0" w:color="auto"/>
      </w:divBdr>
    </w:div>
    <w:div w:id="380131691">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575242061">
      <w:bodyDiv w:val="1"/>
      <w:marLeft w:val="0"/>
      <w:marRight w:val="0"/>
      <w:marTop w:val="0"/>
      <w:marBottom w:val="0"/>
      <w:divBdr>
        <w:top w:val="none" w:sz="0" w:space="0" w:color="auto"/>
        <w:left w:val="none" w:sz="0" w:space="0" w:color="auto"/>
        <w:bottom w:val="none" w:sz="0" w:space="0" w:color="auto"/>
        <w:right w:val="none" w:sz="0" w:space="0" w:color="auto"/>
      </w:divBdr>
    </w:div>
    <w:div w:id="744380930">
      <w:bodyDiv w:val="1"/>
      <w:marLeft w:val="0"/>
      <w:marRight w:val="0"/>
      <w:marTop w:val="0"/>
      <w:marBottom w:val="0"/>
      <w:divBdr>
        <w:top w:val="none" w:sz="0" w:space="0" w:color="auto"/>
        <w:left w:val="none" w:sz="0" w:space="0" w:color="auto"/>
        <w:bottom w:val="none" w:sz="0" w:space="0" w:color="auto"/>
        <w:right w:val="none" w:sz="0" w:space="0" w:color="auto"/>
      </w:divBdr>
    </w:div>
    <w:div w:id="747574772">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927734786">
      <w:bodyDiv w:val="1"/>
      <w:marLeft w:val="0"/>
      <w:marRight w:val="0"/>
      <w:marTop w:val="0"/>
      <w:marBottom w:val="0"/>
      <w:divBdr>
        <w:top w:val="none" w:sz="0" w:space="0" w:color="auto"/>
        <w:left w:val="none" w:sz="0" w:space="0" w:color="auto"/>
        <w:bottom w:val="none" w:sz="0" w:space="0" w:color="auto"/>
        <w:right w:val="none" w:sz="0" w:space="0" w:color="auto"/>
      </w:divBdr>
    </w:div>
    <w:div w:id="990447649">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1634214997">
      <w:bodyDiv w:val="1"/>
      <w:marLeft w:val="0"/>
      <w:marRight w:val="0"/>
      <w:marTop w:val="0"/>
      <w:marBottom w:val="0"/>
      <w:divBdr>
        <w:top w:val="none" w:sz="0" w:space="0" w:color="auto"/>
        <w:left w:val="none" w:sz="0" w:space="0" w:color="auto"/>
        <w:bottom w:val="none" w:sz="0" w:space="0" w:color="auto"/>
        <w:right w:val="none" w:sz="0" w:space="0" w:color="auto"/>
      </w:divBdr>
    </w:div>
    <w:div w:id="1653369715">
      <w:bodyDiv w:val="1"/>
      <w:marLeft w:val="0"/>
      <w:marRight w:val="0"/>
      <w:marTop w:val="0"/>
      <w:marBottom w:val="0"/>
      <w:divBdr>
        <w:top w:val="none" w:sz="0" w:space="0" w:color="auto"/>
        <w:left w:val="none" w:sz="0" w:space="0" w:color="auto"/>
        <w:bottom w:val="none" w:sz="0" w:space="0" w:color="auto"/>
        <w:right w:val="none" w:sz="0" w:space="0" w:color="auto"/>
      </w:divBdr>
    </w:div>
    <w:div w:id="1765371024">
      <w:bodyDiv w:val="1"/>
      <w:marLeft w:val="0"/>
      <w:marRight w:val="0"/>
      <w:marTop w:val="0"/>
      <w:marBottom w:val="0"/>
      <w:divBdr>
        <w:top w:val="none" w:sz="0" w:space="0" w:color="auto"/>
        <w:left w:val="none" w:sz="0" w:space="0" w:color="auto"/>
        <w:bottom w:val="none" w:sz="0" w:space="0" w:color="auto"/>
        <w:right w:val="none" w:sz="0" w:space="0" w:color="auto"/>
      </w:divBdr>
    </w:div>
    <w:div w:id="1889412300">
      <w:bodyDiv w:val="1"/>
      <w:marLeft w:val="0"/>
      <w:marRight w:val="0"/>
      <w:marTop w:val="0"/>
      <w:marBottom w:val="0"/>
      <w:divBdr>
        <w:top w:val="none" w:sz="0" w:space="0" w:color="auto"/>
        <w:left w:val="none" w:sz="0" w:space="0" w:color="auto"/>
        <w:bottom w:val="none" w:sz="0" w:space="0" w:color="auto"/>
        <w:right w:val="none" w:sz="0" w:space="0" w:color="auto"/>
      </w:divBdr>
    </w:div>
    <w:div w:id="1905675425">
      <w:bodyDiv w:val="1"/>
      <w:marLeft w:val="0"/>
      <w:marRight w:val="0"/>
      <w:marTop w:val="0"/>
      <w:marBottom w:val="0"/>
      <w:divBdr>
        <w:top w:val="none" w:sz="0" w:space="0" w:color="auto"/>
        <w:left w:val="none" w:sz="0" w:space="0" w:color="auto"/>
        <w:bottom w:val="none" w:sz="0" w:space="0" w:color="auto"/>
        <w:right w:val="none" w:sz="0" w:space="0" w:color="auto"/>
      </w:divBdr>
    </w:div>
    <w:div w:id="1955476321">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1.bin"/><Relationship Id="rId63" Type="http://schemas.openxmlformats.org/officeDocument/2006/relationships/oleObject" Target="embeddings/oleObject31.bin"/><Relationship Id="rId68" Type="http://schemas.openxmlformats.org/officeDocument/2006/relationships/oleObject" Target="embeddings/oleObject36.bin"/><Relationship Id="rId84" Type="http://schemas.openxmlformats.org/officeDocument/2006/relationships/oleObject" Target="embeddings/oleObject46.bin"/><Relationship Id="rId89" Type="http://schemas.openxmlformats.org/officeDocument/2006/relationships/hyperlink" Target="https://cbonds.ru/company/Cbonds_Estimation_Onshore" TargetMode="External"/><Relationship Id="rId7" Type="http://schemas.openxmlformats.org/officeDocument/2006/relationships/endnotes" Target="endnotes.xml"/><Relationship Id="rId71" Type="http://schemas.openxmlformats.org/officeDocument/2006/relationships/oleObject" Target="embeddings/oleObject38.bin"/><Relationship Id="rId92" Type="http://schemas.openxmlformats.org/officeDocument/2006/relationships/oleObject" Target="embeddings/oleObject49.bin"/><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07" Type="http://schemas.openxmlformats.org/officeDocument/2006/relationships/theme" Target="theme/theme1.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image" Target="media/image19.wmf"/><Relationship Id="rId53" Type="http://schemas.openxmlformats.org/officeDocument/2006/relationships/oleObject" Target="embeddings/oleObject25.bin"/><Relationship Id="rId58" Type="http://schemas.openxmlformats.org/officeDocument/2006/relationships/oleObject" Target="embeddings/oleObject28.bin"/><Relationship Id="rId66" Type="http://schemas.openxmlformats.org/officeDocument/2006/relationships/oleObject" Target="embeddings/oleObject34.bin"/><Relationship Id="rId74" Type="http://schemas.openxmlformats.org/officeDocument/2006/relationships/image" Target="media/image27.wmf"/><Relationship Id="rId79" Type="http://schemas.openxmlformats.org/officeDocument/2006/relationships/oleObject" Target="embeddings/oleObject43.bin"/><Relationship Id="rId87" Type="http://schemas.openxmlformats.org/officeDocument/2006/relationships/hyperlink" Target="https://rudata.info/aboutDB/data-price" TargetMode="External"/><Relationship Id="rId102" Type="http://schemas.openxmlformats.org/officeDocument/2006/relationships/hyperlink" Target="https://www.e-disclosure.ru/" TargetMode="External"/><Relationship Id="rId5" Type="http://schemas.openxmlformats.org/officeDocument/2006/relationships/webSettings" Target="webSettings.xml"/><Relationship Id="rId61" Type="http://schemas.openxmlformats.org/officeDocument/2006/relationships/image" Target="media/image25.wmf"/><Relationship Id="rId82" Type="http://schemas.openxmlformats.org/officeDocument/2006/relationships/hyperlink" Target="consultantplus://offline/ref=111881364BC8F0400B2E06FF7690E35F7C5ED2370B83E221AB56763DF1n1AFI" TargetMode="External"/><Relationship Id="rId90" Type="http://schemas.openxmlformats.org/officeDocument/2006/relationships/image" Target="media/image32.wmf"/><Relationship Id="rId95" Type="http://schemas.openxmlformats.org/officeDocument/2006/relationships/hyperlink" Target="https://www.standardandpoors.com" TargetMode="External"/><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2.bin"/><Relationship Id="rId56" Type="http://schemas.openxmlformats.org/officeDocument/2006/relationships/oleObject" Target="embeddings/oleObject27.bin"/><Relationship Id="rId64" Type="http://schemas.openxmlformats.org/officeDocument/2006/relationships/oleObject" Target="embeddings/oleObject32.bin"/><Relationship Id="rId69" Type="http://schemas.openxmlformats.org/officeDocument/2006/relationships/oleObject" Target="embeddings/oleObject37.bin"/><Relationship Id="rId77" Type="http://schemas.openxmlformats.org/officeDocument/2006/relationships/oleObject" Target="embeddings/oleObject42.bin"/><Relationship Id="rId100" Type="http://schemas.openxmlformats.org/officeDocument/2006/relationships/hyperlink" Target="https://ratings.ru/" TargetMode="External"/><Relationship Id="rId105"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oleObject" Target="embeddings/oleObject24.bin"/><Relationship Id="rId72" Type="http://schemas.openxmlformats.org/officeDocument/2006/relationships/oleObject" Target="embeddings/oleObject39.bin"/><Relationship Id="rId80" Type="http://schemas.openxmlformats.org/officeDocument/2006/relationships/oleObject" Target="embeddings/oleObject44.bin"/><Relationship Id="rId85" Type="http://schemas.openxmlformats.org/officeDocument/2006/relationships/image" Target="media/image31.wmf"/><Relationship Id="rId93" Type="http://schemas.openxmlformats.org/officeDocument/2006/relationships/oleObject" Target="embeddings/oleObject50.bin"/><Relationship Id="rId98" Type="http://schemas.openxmlformats.org/officeDocument/2006/relationships/hyperlink" Target="https://raexpert.ru" TargetMode="Externa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oleObject" Target="embeddings/oleObject20.bin"/><Relationship Id="rId59" Type="http://schemas.openxmlformats.org/officeDocument/2006/relationships/image" Target="media/image24.wmf"/><Relationship Id="rId67" Type="http://schemas.openxmlformats.org/officeDocument/2006/relationships/oleObject" Target="embeddings/oleObject35.bin"/><Relationship Id="rId103" Type="http://schemas.openxmlformats.org/officeDocument/2006/relationships/hyperlink" Target="https://www.moex.com/" TargetMode="Externa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oleObject" Target="embeddings/oleObject26.bin"/><Relationship Id="rId62" Type="http://schemas.openxmlformats.org/officeDocument/2006/relationships/oleObject" Target="embeddings/oleObject30.bin"/><Relationship Id="rId70" Type="http://schemas.openxmlformats.org/officeDocument/2006/relationships/image" Target="media/image26.wmf"/><Relationship Id="rId75" Type="http://schemas.openxmlformats.org/officeDocument/2006/relationships/oleObject" Target="embeddings/oleObject41.bin"/><Relationship Id="rId83" Type="http://schemas.openxmlformats.org/officeDocument/2006/relationships/image" Target="media/image30.wmf"/><Relationship Id="rId88" Type="http://schemas.openxmlformats.org/officeDocument/2006/relationships/hyperlink" Target="https://cbonds.ru/cbonds_estimation/" TargetMode="External"/><Relationship Id="rId91" Type="http://schemas.openxmlformats.org/officeDocument/2006/relationships/oleObject" Target="embeddings/oleObject48.bin"/><Relationship Id="rId96" Type="http://schemas.openxmlformats.org/officeDocument/2006/relationships/hyperlink" Target="https://www.moodys.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3.bin"/><Relationship Id="rId57" Type="http://schemas.openxmlformats.org/officeDocument/2006/relationships/image" Target="media/image23.wmf"/><Relationship Id="rId106" Type="http://schemas.openxmlformats.org/officeDocument/2006/relationships/fontTable" Target="fontTable.xml"/><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oleObject" Target="embeddings/oleObject19.bin"/><Relationship Id="rId52" Type="http://schemas.openxmlformats.org/officeDocument/2006/relationships/image" Target="media/image21.wmf"/><Relationship Id="rId60" Type="http://schemas.openxmlformats.org/officeDocument/2006/relationships/oleObject" Target="embeddings/oleObject29.bin"/><Relationship Id="rId65" Type="http://schemas.openxmlformats.org/officeDocument/2006/relationships/oleObject" Target="embeddings/oleObject33.bin"/><Relationship Id="rId73" Type="http://schemas.openxmlformats.org/officeDocument/2006/relationships/oleObject" Target="embeddings/oleObject40.bin"/><Relationship Id="rId78" Type="http://schemas.openxmlformats.org/officeDocument/2006/relationships/image" Target="media/image29.wmf"/><Relationship Id="rId81" Type="http://schemas.openxmlformats.org/officeDocument/2006/relationships/oleObject" Target="embeddings/oleObject45.bin"/><Relationship Id="rId86" Type="http://schemas.openxmlformats.org/officeDocument/2006/relationships/oleObject" Target="embeddings/oleObject47.bin"/><Relationship Id="rId94" Type="http://schemas.openxmlformats.org/officeDocument/2006/relationships/footer" Target="footer1.xml"/><Relationship Id="rId99" Type="http://schemas.openxmlformats.org/officeDocument/2006/relationships/hyperlink" Target="https://www.acra-ratings.ru" TargetMode="External"/><Relationship Id="rId101" Type="http://schemas.openxmlformats.org/officeDocument/2006/relationships/hyperlink" Target="https://www.ra-national.ru/"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wmf"/><Relationship Id="rId50" Type="http://schemas.openxmlformats.org/officeDocument/2006/relationships/image" Target="media/image20.wmf"/><Relationship Id="rId55" Type="http://schemas.openxmlformats.org/officeDocument/2006/relationships/image" Target="media/image22.wmf"/><Relationship Id="rId76" Type="http://schemas.openxmlformats.org/officeDocument/2006/relationships/image" Target="media/image28.wmf"/><Relationship Id="rId97" Type="http://schemas.openxmlformats.org/officeDocument/2006/relationships/hyperlink" Target="https://www.fitchratings.com" TargetMode="External"/><Relationship Id="rId104" Type="http://schemas.openxmlformats.org/officeDocument/2006/relationships/hyperlink" Target="https://www.cbr.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r.ru/statistics/?PrtId=int_rat&amp;ch=PAR_11965" TargetMode="External"/><Relationship Id="rId2" Type="http://schemas.openxmlformats.org/officeDocument/2006/relationships/hyperlink" Target="https://www.ecb.europa.eu/stats/financial_markets_and_interest_rates/euro_area_yield_curves/html/index.en.html" TargetMode="External"/><Relationship Id="rId1" Type="http://schemas.openxmlformats.org/officeDocument/2006/relationships/hyperlink" Target="https://home.treasury.gov/resource-center/data-chart-center/interest-rates/TextView?type=daily_treasury_yield_curve&amp;field_tdr_date_value_month=202211" TargetMode="External"/><Relationship Id="rId4" Type="http://schemas.openxmlformats.org/officeDocument/2006/relationships/hyperlink" Target="https://raexpert.ru/about/disclosure/default-level-dat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C8EFC-4964-4EC1-9B14-E4AD97BC8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80</Pages>
  <Words>27868</Words>
  <Characters>158848</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186344</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Кулик</dc:creator>
  <cp:lastModifiedBy>Новикова Надежда Александровна</cp:lastModifiedBy>
  <cp:revision>20</cp:revision>
  <cp:lastPrinted>2023-06-19T12:28:00Z</cp:lastPrinted>
  <dcterms:created xsi:type="dcterms:W3CDTF">2026-02-11T14:19:00Z</dcterms:created>
  <dcterms:modified xsi:type="dcterms:W3CDTF">2026-09-03T14:03:00Z</dcterms:modified>
</cp:coreProperties>
</file>